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>
      <w:pPr/>
    </w:p>
    <w:p>
      <w:pPr/>
      <w:r>
        <w:rPr>
          <w:b/>
          <w:sz w:val="28"/>
        </w:rPr>
        <w:t>Key Benefits</w:t>
      </w:r>
    </w:p>
    <w:p>
      <w:pPr/>
      <w:r>
        <w:t xml:space="preserve">• </w:t>
      </w:r>
      <w:r>
        <w:rPr>
          <w:b/>
        </w:rPr>
        <w:t xml:space="preserve">Deliver consistently: </w:t>
      </w:r>
      <w:r>
        <w:t>Use the same evidence model, workshop cadence, and outputs across engagements so results are predictable and easy to review.</w:t>
      </w:r>
    </w:p>
    <w:p>
      <w:pPr/>
      <w:r>
        <w:t xml:space="preserve">• </w:t>
      </w:r>
      <w:r>
        <w:rPr>
          <w:b/>
        </w:rPr>
        <w:t xml:space="preserve">Stay evidence-driven: </w:t>
      </w:r>
      <w:r>
        <w:t>Ground findings in static configuration, workshop transcripts/notes, and support history so recommendations are traceable.</w:t>
      </w:r>
    </w:p>
    <w:p>
      <w:pPr/>
      <w:r>
        <w:t xml:space="preserve">• </w:t>
      </w:r>
      <w:r>
        <w:rPr>
          <w:b/>
        </w:rPr>
        <w:t xml:space="preserve">Move fast (safely): </w:t>
      </w:r>
      <w:r>
        <w:t>Collect inputs up front and run focused, scenario-based pillar sessions to compress timelines without sacrificing rigor or stakeholder confidence.</w:t>
      </w:r>
    </w:p>
    <w:p>
      <w:pPr/>
    </w:p>
    <w:p>
      <w:pPr>
        <w:pStyle w:val="Heading1"/>
      </w:pPr>
      <w:r>
        <w:t>Purpose and Audience</w:t>
      </w:r>
    </w:p>
    <w:p>
      <w:pPr/>
      <w:r>
        <w:rPr>
          <w:b w:val="0"/>
        </w:rPr>
        <w:t>This QuickStart Playbook explains how to run the Well‑Architected Health Check (WAHC) using this kit. It is written for engagement leads (Ping PS/partners), solution architects, and customer stakeholders who will participate in workshops, provide evidence, and review the final recommendations.</w:t>
      </w:r>
    </w:p>
    <w:p>
      <w:pPr/>
    </w:p>
    <w:p>
      <w:pPr>
        <w:pStyle w:val="Heading1"/>
      </w:pPr>
      <w:r>
        <w:t>What This Kit Covers</w:t>
      </w:r>
    </w:p>
    <w:p>
      <w:pPr/>
      <w:r>
        <w:rPr>
          <w:b w:val="0"/>
        </w:rPr>
        <w:t>• A repeatable engagement flow (intake → evidence → pillar sessions → synthesis → readout).</w:t>
      </w:r>
    </w:p>
    <w:p>
      <w:pPr/>
      <w:r>
        <w:rPr>
          <w:b w:val="0"/>
        </w:rPr>
        <w:t>• A common evidence model so findings are supported by objective artifacts and notes—not opinions.</w:t>
      </w:r>
    </w:p>
    <w:p>
      <w:pPr/>
      <w:r>
        <w:rPr>
          <w:b w:val="0"/>
        </w:rPr>
        <w:t>• Suggested outputs that align to the Ping Well‑Architected Framework pillars and emphasize actionable next steps.</w:t>
      </w:r>
    </w:p>
    <w:p>
      <w:pPr/>
    </w:p>
    <w:p>
      <w:pPr>
        <w:pStyle w:val="Heading1"/>
      </w:pPr>
      <w:r>
        <w:t>QuickStart Objectives</w:t>
      </w:r>
    </w:p>
    <w:p>
      <w:pPr/>
      <w:r>
        <w:t xml:space="preserve">• </w:t>
      </w:r>
      <w:r>
        <w:rPr>
          <w:b/>
        </w:rPr>
        <w:t xml:space="preserve">Alignment: </w:t>
      </w:r>
      <w:r>
        <w:t>Confirm business drivers, top use cases/journeys, and success criteria before assessing.</w:t>
      </w:r>
    </w:p>
    <w:p>
      <w:pPr/>
      <w:r>
        <w:t xml:space="preserve">• </w:t>
      </w:r>
      <w:r>
        <w:rPr>
          <w:b/>
        </w:rPr>
        <w:t xml:space="preserve">Baseline: </w:t>
      </w:r>
      <w:r>
        <w:t>Capture static configuration and architecture artifacts to create an objective review baseline.</w:t>
      </w:r>
    </w:p>
    <w:p>
      <w:pPr/>
      <w:r>
        <w:t xml:space="preserve">• </w:t>
      </w:r>
      <w:r>
        <w:rPr>
          <w:b/>
        </w:rPr>
        <w:t xml:space="preserve">Validation: </w:t>
      </w:r>
      <w:r>
        <w:t>Run pillar sessions to validate how the system behaves in real scenarios (operations, failure modes, recovery patterns).</w:t>
      </w:r>
    </w:p>
    <w:p>
      <w:pPr/>
      <w:r>
        <w:t xml:space="preserve">• </w:t>
      </w:r>
      <w:r>
        <w:rPr>
          <w:b/>
        </w:rPr>
        <w:t xml:space="preserve">Assessment: </w:t>
      </w:r>
      <w:r>
        <w:t>Evaluate alignment to Well‑Architected best practices per pillar; identify gaps and record evidence pointers for each finding.</w:t>
      </w:r>
    </w:p>
    <w:p>
      <w:pPr/>
      <w:r>
        <w:t xml:space="preserve">• </w:t>
      </w:r>
      <w:r>
        <w:rPr>
          <w:b/>
        </w:rPr>
        <w:t xml:space="preserve">Prioritization: </w:t>
      </w:r>
      <w:r>
        <w:t>Produce a Now/Next/Later set of next steps and identify where Ping/partners can help (training, remediation, automation).</w:t>
      </w:r>
    </w:p>
    <w:p>
      <w:pPr/>
    </w:p>
    <w:p>
      <w:pPr>
        <w:pStyle w:val="Heading1"/>
      </w:pPr>
      <w:r>
        <w:t>How to Run the Engagement</w:t>
      </w:r>
    </w:p>
    <w:p>
      <w:pPr/>
      <w:r>
        <w:rPr>
          <w:b w:val="0"/>
        </w:rPr>
        <w:t>Follow these steps (adapt duration/cadence as needed). Keep everything grounded in evidence and primary use cases.</w:t>
      </w:r>
    </w:p>
    <w:p>
      <w:pPr/>
    </w:p>
    <w:p>
      <w:pPr>
        <w:pStyle w:val="Heading3"/>
      </w:pPr>
      <w:r>
        <w:t>Engagement Steps</w:t>
      </w:r>
    </w:p>
    <w:p>
      <w:pPr/>
      <w:r>
        <w:t xml:space="preserve">• </w:t>
      </w:r>
      <w:r>
        <w:rPr>
          <w:b/>
        </w:rPr>
        <w:t xml:space="preserve">1) Intake &amp; Alignment: </w:t>
      </w:r>
      <w:r>
        <w:t>Confirm business drivers, top use cases, and success criteria (Doc 1).</w:t>
      </w:r>
    </w:p>
    <w:p>
      <w:pPr/>
      <w:r>
        <w:t xml:space="preserve">• </w:t>
      </w:r>
      <w:r>
        <w:rPr>
          <w:b/>
        </w:rPr>
        <w:t xml:space="preserve">2) Evidence Intake: </w:t>
      </w:r>
      <w:r>
        <w:t>Collect static config exports, diagrams/flows, environment inventory, and support history (Doc 2).</w:t>
      </w:r>
    </w:p>
    <w:p>
      <w:pPr/>
      <w:r>
        <w:t xml:space="preserve">• </w:t>
      </w:r>
      <w:r>
        <w:rPr>
          <w:b/>
        </w:rPr>
        <w:t xml:space="preserve">3) Artifact Validation Session: </w:t>
      </w:r>
      <w:r>
        <w:t>Review received inputs, identify gaps, agree on mitigations, owners, and dates.</w:t>
      </w:r>
    </w:p>
    <w:p>
      <w:pPr/>
      <w:r>
        <w:t xml:space="preserve">• </w:t>
      </w:r>
      <w:r>
        <w:rPr>
          <w:b/>
        </w:rPr>
        <w:t xml:space="preserve">4) Pillar Sessions: </w:t>
      </w:r>
      <w:r>
        <w:t>Run one session per pillar using scenario questions; capture transcripts/notes and evidence pointers.</w:t>
      </w:r>
    </w:p>
    <w:p>
      <w:pPr/>
      <w:r>
        <w:t xml:space="preserve">• </w:t>
      </w:r>
      <w:r>
        <w:rPr>
          <w:b/>
        </w:rPr>
        <w:t xml:space="preserve">5) Synthesis: </w:t>
      </w:r>
      <w:r>
        <w:t>Map evidence to pillars/best practices; draft findings, maturity snapshot, and recommendations.</w:t>
      </w:r>
    </w:p>
    <w:p>
      <w:pPr/>
      <w:r>
        <w:t xml:space="preserve">• </w:t>
      </w:r>
      <w:r>
        <w:rPr>
          <w:b/>
        </w:rPr>
        <w:t xml:space="preserve">6) Traceability: </w:t>
      </w:r>
      <w:r>
        <w:t>Record evidence → pillar → finding → recommendation in the Evidence Matrix (Doc 5).</w:t>
      </w:r>
    </w:p>
    <w:p>
      <w:pPr/>
      <w:r>
        <w:t xml:space="preserve">• </w:t>
      </w:r>
      <w:r>
        <w:rPr>
          <w:b/>
        </w:rPr>
        <w:t xml:space="preserve">7) Readout &amp; Close: </w:t>
      </w:r>
      <w:r>
        <w:t>Deliver executive readout, validate priorities, and agree on a 30/60/90 plan.</w:t>
      </w:r>
    </w:p>
    <w:p>
      <w:pPr/>
    </w:p>
    <w:p>
      <w:pPr>
        <w:pStyle w:val="Heading3"/>
      </w:pPr>
      <w:r>
        <w:t>Workshop Cadence (Typical)</w:t>
      </w:r>
    </w:p>
    <w:p>
      <w:pPr/>
      <w:r>
        <w:t xml:space="preserve">• </w:t>
      </w:r>
      <w:r>
        <w:rPr>
          <w:b/>
        </w:rPr>
        <w:t xml:space="preserve">Sessions: </w:t>
      </w:r>
      <w:r>
        <w:t>Up to six pre‑scheduled sessions, typically up to two hours each, plus a final readout.</w:t>
      </w:r>
    </w:p>
    <w:p>
      <w:pPr/>
      <w:r>
        <w:t xml:space="preserve">• </w:t>
      </w:r>
      <w:r>
        <w:rPr>
          <w:b/>
        </w:rPr>
        <w:t xml:space="preserve">Participants: </w:t>
      </w:r>
      <w:r>
        <w:t>Ensure the right SMEs are present per session (IAM/SSO, directory, MFA/risk, networking, apps, SRE/SecOps).</w:t>
      </w:r>
    </w:p>
    <w:p>
      <w:pPr/>
      <w:r>
        <w:t xml:space="preserve">• </w:t>
      </w:r>
      <w:r>
        <w:rPr>
          <w:b/>
        </w:rPr>
        <w:t xml:space="preserve">Preparation: </w:t>
      </w:r>
      <w:r>
        <w:t>Share pre‑reads and confirm evidence availability at least 48 hours prior to each session.</w:t>
      </w:r>
    </w:p>
    <w:p>
      <w:pPr/>
    </w:p>
    <w:p>
      <w:pPr>
        <w:pStyle w:val="Heading1"/>
      </w:pPr>
      <w:r>
        <w:t>Evidence Model and Traceability</w:t>
      </w:r>
    </w:p>
    <w:p>
      <w:pPr/>
      <w:r>
        <w:t xml:space="preserve">• </w:t>
      </w:r>
      <w:r>
        <w:rPr>
          <w:b/>
        </w:rPr>
        <w:t xml:space="preserve">Evidence sources: </w:t>
      </w:r>
      <w:r>
        <w:t>Static configuration exports, architecture artifacts, workshop transcripts/notes, and support/change history.</w:t>
      </w:r>
    </w:p>
    <w:p>
      <w:pPr/>
      <w:r>
        <w:t xml:space="preserve">• </w:t>
      </w:r>
      <w:r>
        <w:rPr>
          <w:b/>
        </w:rPr>
        <w:t xml:space="preserve">Traceability: </w:t>
      </w:r>
      <w:r>
        <w:t>Every finding should link to one or more evidence items and a clear best‑practice rationale.</w:t>
      </w:r>
    </w:p>
    <w:p>
      <w:pPr/>
      <w:r>
        <w:t xml:space="preserve">• </w:t>
      </w:r>
      <w:r>
        <w:rPr>
          <w:b/>
        </w:rPr>
        <w:t xml:space="preserve">Decision capture: </w:t>
      </w:r>
      <w:r>
        <w:t>Record key trade‑offs (UX vs security, cost vs resilience) and the decision criteria used.</w:t>
      </w:r>
    </w:p>
    <w:p>
      <w:pPr/>
      <w:r>
        <w:t xml:space="preserve">• </w:t>
      </w:r>
      <w:r>
        <w:rPr>
          <w:b/>
        </w:rPr>
        <w:t xml:space="preserve">Assumptions: </w:t>
      </w:r>
      <w:r>
        <w:t>Document unknowns and validate them during pillar sessions (for example: peak TPS, regional traffic split, DR expectations).</w:t>
      </w:r>
    </w:p>
    <w:p>
      <w:pPr/>
    </w:p>
    <w:p>
      <w:pPr>
        <w:pStyle w:val="Heading1"/>
      </w:pPr>
      <w:r>
        <w:t>Applies To</w:t>
      </w:r>
    </w:p>
    <w:p>
      <w:pPr/>
      <w:r>
        <w:t xml:space="preserve">• </w:t>
      </w:r>
      <w:r>
        <w:rPr>
          <w:b/>
        </w:rPr>
        <w:t xml:space="preserve">PingOne services: </w:t>
      </w:r>
      <w:r>
        <w:t>SSO, MFA, DaVinci, Protect/Verify (and other scoped PingOne services).</w:t>
      </w:r>
    </w:p>
    <w:p>
      <w:pPr/>
      <w:r>
        <w:rPr>
          <w:b w:val="0"/>
        </w:rPr>
        <w:t>• PingOne Advanced Identity Cloud (AIC) and/or self‑hosted Ping stacks: AM, IDM, DS, Identity Gateway/PingGateway, CTS, RCS, agents, and supporting dependencies.</w:t>
      </w:r>
    </w:p>
    <w:p>
      <w:pPr/>
    </w:p>
    <w:p>
      <w:pPr>
        <w:pStyle w:val="Heading1"/>
      </w:pPr>
      <w:r>
        <w:t>Suggested Outputs</w:t>
      </w:r>
    </w:p>
    <w:p>
      <w:pPr/>
      <w:r>
        <w:t xml:space="preserve">• </w:t>
      </w:r>
      <w:r>
        <w:rPr>
          <w:b/>
        </w:rPr>
        <w:t xml:space="preserve">Minimum outputs: </w:t>
      </w:r>
      <w:r>
        <w:t>(1) Evidence Matrix Lite (traceability), (2) prioritized recommendations (Now/Next/Later), and (3) an executive readout (pillar view + cross‑pillar themes).</w:t>
      </w:r>
    </w:p>
    <w:p>
      <w:pPr/>
      <w:r>
        <w:t xml:space="preserve">• </w:t>
      </w:r>
      <w:r>
        <w:rPr>
          <w:b/>
        </w:rPr>
        <w:t xml:space="preserve">Optional outputs: </w:t>
      </w:r>
      <w:r>
        <w:t>Maturity snapshot per pillar, risk register, and a 30/60/90 plan with owners and validation guidance.</w:t>
      </w:r>
    </w:p>
    <w:p>
      <w:pPr/>
    </w:p>
    <w:p>
      <w:pPr>
        <w:pStyle w:val="Heading1"/>
      </w:pPr>
      <w:r>
        <w:t>Roles and Responsibilities (Recommended)</w:t>
      </w:r>
    </w:p>
    <w:p>
      <w:pPr/>
      <w:r>
        <w:t xml:space="preserve">• </w:t>
      </w:r>
      <w:r>
        <w:rPr>
          <w:b/>
        </w:rPr>
        <w:t xml:space="preserve">Engagement lead: </w:t>
      </w:r>
      <w:r>
        <w:t>Owns scope, schedule, workshop facilitation, and final quality of outputs.</w:t>
      </w:r>
    </w:p>
    <w:p>
      <w:pPr/>
      <w:r>
        <w:t xml:space="preserve">• </w:t>
      </w:r>
      <w:r>
        <w:rPr>
          <w:b/>
        </w:rPr>
        <w:t xml:space="preserve">Customer sponsor: </w:t>
      </w:r>
      <w:r>
        <w:t>Owns business outcomes, success criteria, and prioritization decisions.</w:t>
      </w:r>
    </w:p>
    <w:p>
      <w:pPr/>
      <w:r>
        <w:t xml:space="preserve">• </w:t>
      </w:r>
      <w:r>
        <w:rPr>
          <w:b/>
        </w:rPr>
        <w:t xml:space="preserve">Platform owner: </w:t>
      </w:r>
      <w:r>
        <w:t>Provides environment inventory, access constraints, and operational practices.</w:t>
      </w:r>
    </w:p>
    <w:p>
      <w:pPr/>
      <w:r>
        <w:t xml:space="preserve">• </w:t>
      </w:r>
      <w:r>
        <w:rPr>
          <w:b/>
        </w:rPr>
        <w:t xml:space="preserve">SMEs: </w:t>
      </w:r>
      <w:r>
        <w:t>Provide evidence, validate how systems behave, and confirm feasibility/constraints for recommendations.</w:t>
      </w:r>
    </w:p>
    <w:p>
      <w:pPr/>
      <w:r>
        <w:t xml:space="preserve">• </w:t>
      </w:r>
      <w:r>
        <w:rPr>
          <w:b/>
        </w:rPr>
        <w:t xml:space="preserve">Scribe: </w:t>
      </w:r>
      <w:r>
        <w:t>Captures notes, decisions, and evidence pointers during sessions (or manages transcripts if approved).</w:t>
      </w:r>
    </w:p>
    <w:p>
      <w:pPr/>
    </w:p>
    <w:p>
      <w:pPr>
        <w:pStyle w:val="Heading1"/>
      </w:pPr>
      <w:r>
        <w:t>Prerequisites</w:t>
      </w:r>
    </w:p>
    <w:p>
      <w:pPr/>
      <w:r>
        <w:t xml:space="preserve">• </w:t>
      </w:r>
      <w:r>
        <w:rPr>
          <w:b/>
        </w:rPr>
        <w:t xml:space="preserve">Approvals: </w:t>
      </w:r>
      <w:r>
        <w:t>Confirm customer approval for recording/transcripts (if used) and document any limitations.</w:t>
      </w:r>
    </w:p>
    <w:p>
      <w:pPr/>
      <w:r>
        <w:t xml:space="preserve">• </w:t>
      </w:r>
      <w:r>
        <w:rPr>
          <w:b/>
        </w:rPr>
        <w:t xml:space="preserve">Data handling: </w:t>
      </w:r>
      <w:r>
        <w:t>Confirm constraints for exports and sensitive data (PII/secrets), including redaction rules and storage locations.</w:t>
      </w:r>
    </w:p>
    <w:p>
      <w:pPr/>
      <w:r>
        <w:t xml:space="preserve">• </w:t>
      </w:r>
      <w:r>
        <w:rPr>
          <w:b/>
        </w:rPr>
        <w:t xml:space="preserve">Access: </w:t>
      </w:r>
      <w:r>
        <w:t>Ensure read‑only administrative access where feasible; document required approvals and lead times.</w:t>
      </w:r>
    </w:p>
    <w:p>
      <w:pPr/>
      <w:r>
        <w:t xml:space="preserve">• </w:t>
      </w:r>
      <w:r>
        <w:rPr>
          <w:b/>
        </w:rPr>
        <w:t xml:space="preserve">Availability: </w:t>
      </w:r>
      <w:r>
        <w:t>Validate stakeholder availability for pillar sessions and identify backups for critical roles.</w:t>
      </w:r>
    </w:p>
    <w:p>
      <w:pPr/>
    </w:p>
    <w:p>
      <w:pPr>
        <w:pStyle w:val="Heading1"/>
      </w:pPr>
      <w:r>
        <w:t>Deliverables</w:t>
      </w:r>
    </w:p>
    <w:p>
      <w:pPr/>
      <w:r>
        <w:rPr>
          <w:b w:val="0"/>
        </w:rPr>
        <w:t>• A repeatable, pillar‑based assessment with evidence‑backed findings and prioritized next steps.</w:t>
      </w:r>
    </w:p>
    <w:p>
      <w:pPr/>
      <w:r>
        <w:rPr>
          <w:b w:val="0"/>
        </w:rPr>
        <w:t>• An evidence baseline and traceability matrix that maps evidence to pillars, findings, and recommendations.</w:t>
      </w:r>
    </w:p>
    <w:p>
      <w:pPr/>
      <w:r>
        <w:rPr>
          <w:b w:val="0"/>
        </w:rPr>
        <w:t>• A validated action plan (Now/Next/Later or 30/60/90) with owners and success criteria.</w:t>
      </w:r>
    </w:p>
    <w:p>
      <w:pPr/>
    </w:p>
    <w:p>
      <w:pPr>
        <w:pStyle w:val="Heading1"/>
      </w:pPr>
      <w:r>
        <w:t>Exclusions</w:t>
      </w:r>
    </w:p>
    <w:p>
      <w:pPr/>
      <w:r>
        <w:rPr>
          <w:b w:val="0"/>
        </w:rPr>
        <w:t>• Not a detailed design or implementation plan unless contracted separately.</w:t>
      </w:r>
    </w:p>
    <w:p>
      <w:pPr/>
      <w:r>
        <w:rPr>
          <w:b w:val="0"/>
        </w:rPr>
        <w:t>• No remediation work is included in the base health check engagement; remediation can be delivered as a follow‑on engagement.</w:t>
      </w:r>
    </w:p>
    <w:p>
      <w:pPr/>
    </w:p>
    <w:p>
      <w:pPr>
        <w:pStyle w:val="Heading1"/>
      </w:pPr>
      <w:r>
        <w:t>Facilitation Tips</w:t>
      </w:r>
    </w:p>
    <w:p>
      <w:pPr/>
      <w:r>
        <w:t xml:space="preserve">• </w:t>
      </w:r>
      <w:r>
        <w:rPr>
          <w:b/>
        </w:rPr>
        <w:t xml:space="preserve">Keep it scenario‑based: </w:t>
      </w:r>
      <w:r>
        <w:t>Use real journeys and failure modes to test whether the architecture meets requirements.</w:t>
      </w:r>
    </w:p>
    <w:p>
      <w:pPr/>
      <w:r>
        <w:t xml:space="preserve">• </w:t>
      </w:r>
      <w:r>
        <w:rPr>
          <w:b/>
        </w:rPr>
        <w:t xml:space="preserve">Bias to evidence: </w:t>
      </w:r>
      <w:r>
        <w:t>When disagreements arise, record the question and identify the evidence needed to resolve it.</w:t>
      </w:r>
    </w:p>
    <w:p>
      <w:pPr/>
      <w:r>
        <w:t xml:space="preserve">• </w:t>
      </w:r>
      <w:r>
        <w:rPr>
          <w:b/>
        </w:rPr>
        <w:t xml:space="preserve">Limit scope creep: </w:t>
      </w:r>
      <w:r>
        <w:t>Capture out‑of‑scope items in a parking lot with an owner and next step.</w:t>
      </w:r>
    </w:p>
    <w:p>
      <w:pPr/>
      <w:r>
        <w:t xml:space="preserve">• </w:t>
      </w:r>
      <w:r>
        <w:rPr>
          <w:b/>
        </w:rPr>
        <w:t xml:space="preserve">Close each session: </w:t>
      </w:r>
      <w:r>
        <w:t>Summarize decisions, open questions, and evidence gaps; confirm owners and dates.</w:t>
      </w:r>
    </w:p>
    <w:p>
      <w:pPr/>
    </w:p>
    <w:sectPr w:rsidR="00DE758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D6D7F" w14:textId="77777777" w:rsidR="00596A4A" w:rsidRDefault="00596A4A">
      <w:pPr>
        <w:spacing w:before="0" w:after="0"/>
      </w:pPr>
      <w:r>
        <w:separator/>
      </w:r>
    </w:p>
  </w:endnote>
  <w:endnote w:type="continuationSeparator" w:id="0">
    <w:p w14:paraId="0CC851E7" w14:textId="77777777" w:rsidR="00596A4A" w:rsidRDefault="00596A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B3A3EB-CAD6-B349-A1A2-822C65C2C625}"/>
    <w:embedBold r:id="rId2" w:fontKey="{7BCB5A05-5430-4F47-B15E-E170D42B43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6E99CB1-FC1A-9C48-A3E0-632F4455C3C1}"/>
    <w:embedBold r:id="rId4" w:fontKey="{6EE1F697-CBCD-0240-9EAB-C7A4A49FA4EB}"/>
    <w:embedItalic r:id="rId5" w:fontKey="{C3453CF4-F625-1E43-8F5A-C31B00F6A649}"/>
    <w:embedBoldItalic r:id="rId6" w:fontKey="{7AFE4F1A-C06C-D041-AE98-70101B4ADB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8186141-EABE-E74E-B83F-38885D9F00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F01BF8C-D805-9845-A2A9-9616FBDD3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3D61A7C-F0D6-9243-A87F-FBC321BA3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B1CCF" w14:textId="77777777" w:rsidR="00DE75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</w:pPr>
    <w:r>
      <w:t>Ping Professional Services</w:t>
    </w:r>
    <w:r>
      <w:tab/>
    </w:r>
    <w:r>
      <w:fldChar w:fldCharType="begin"/>
    </w:r>
    <w:r>
      <w:instrText>PAGE</w:instrText>
    </w:r>
    <w:r>
      <w:fldChar w:fldCharType="separate"/>
    </w:r>
    <w:r w:rsidR="000828A0">
      <w:rPr>
        <w:noProof/>
      </w:rPr>
      <w:t>1</w:t>
    </w:r>
    <w:r>
      <w:fldChar w:fldCharType="end"/>
    </w:r>
    <w:r>
      <w:tab/>
      <w:t>Feb 27, 2024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377AE" w14:textId="77777777" w:rsidR="00596A4A" w:rsidRDefault="00596A4A">
      <w:pPr>
        <w:spacing w:before="0" w:after="0"/>
      </w:pPr>
      <w:r>
        <w:separator/>
      </w:r>
    </w:p>
  </w:footnote>
  <w:footnote w:type="continuationSeparator" w:id="0">
    <w:p w14:paraId="479E6125" w14:textId="77777777" w:rsidR="00596A4A" w:rsidRDefault="00596A4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E0BC" w14:textId="77777777" w:rsidR="000828A0" w:rsidRDefault="000828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C4DD9" w14:textId="4C1ED206" w:rsidR="000828A0" w:rsidRPr="00147A66" w:rsidRDefault="000828A0" w:rsidP="000828A0">
    <w:pPr>
      <w:pStyle w:val="Title"/>
      <w:keepNext w:val="0"/>
      <w:keepLines w:val="0"/>
      <w:spacing w:before="567"/>
      <w:ind w:firstLine="720"/>
      <w:rPr>
        <w:sz w:val="36"/>
        <w:szCs w:val="36"/>
      </w:rPr>
    </w:pPr>
    <w:r w:rsidRPr="00147A66">
      <w:rPr>
        <w:noProof/>
        <w:color w:val="C00000"/>
        <w:sz w:val="52"/>
        <w:szCs w:val="52"/>
      </w:rPr>
      <w:drawing>
        <wp:anchor distT="0" distB="0" distL="114300" distR="114300" simplePos="0" relativeHeight="251659264" behindDoc="0" locked="0" layoutInCell="1" hidden="0" allowOverlap="1" wp14:anchorId="43B3502E" wp14:editId="5117C017">
          <wp:simplePos x="0" y="0"/>
          <wp:positionH relativeFrom="column">
            <wp:posOffset>-330200</wp:posOffset>
          </wp:positionH>
          <wp:positionV relativeFrom="paragraph">
            <wp:posOffset>314960</wp:posOffset>
          </wp:positionV>
          <wp:extent cx="720000" cy="720000"/>
          <wp:effectExtent l="0" t="0" r="0" b="0"/>
          <wp:wrapSquare wrapText="bothSides" distT="0" distB="0" distL="114300" distR="114300"/>
          <wp:docPr id="2" name="image2.png" descr="Macintosh HD:Users:johntrask:Desktop:Ping Logos:EXP_PIC_square_log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johntrask:Desktop:Ping Logos:EXP_PIC_square_logo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47A66">
      <w:rPr>
        <w:color w:val="C00000"/>
        <w:sz w:val="40"/>
        <w:szCs w:val="40"/>
      </w:rPr>
      <w:t>Well-Architected Health Check</w:t>
    </w:r>
    <w:r>
      <w:rPr>
        <w:sz w:val="36"/>
        <w:szCs w:val="36"/>
      </w:rPr>
      <w:br/>
      <w:t xml:space="preserve">   </w:t>
    </w:r>
    <w:r w:rsidR="000A4E9A">
      <w:rPr>
        <w:i/>
        <w:iCs/>
        <w:color w:val="808080" w:themeColor="background1" w:themeShade="80"/>
        <w:sz w:val="36"/>
        <w:szCs w:val="36"/>
      </w:rPr>
      <w:t>How to use this Kit - QuickStart Playbook</w:t>
    </w:r>
    <w:r w:rsidRPr="00147A66">
      <w:rPr>
        <w:i/>
        <w:iCs/>
        <w:color w:val="808080" w:themeColor="background1" w:themeShade="80"/>
        <w:sz w:val="36"/>
        <w:szCs w:val="36"/>
      </w:rP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A59BB" w14:textId="77777777" w:rsidR="000828A0" w:rsidRDefault="000828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FF8"/>
    <w:multiLevelType w:val="multilevel"/>
    <w:tmpl w:val="BD723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CD7FE8"/>
    <w:multiLevelType w:val="multilevel"/>
    <w:tmpl w:val="722EC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6A2330"/>
    <w:multiLevelType w:val="multilevel"/>
    <w:tmpl w:val="42A2C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C839B0"/>
    <w:multiLevelType w:val="multilevel"/>
    <w:tmpl w:val="CA26A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10355F"/>
    <w:multiLevelType w:val="multilevel"/>
    <w:tmpl w:val="83247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486471">
    <w:abstractNumId w:val="0"/>
  </w:num>
  <w:num w:numId="2" w16cid:durableId="1713576990">
    <w:abstractNumId w:val="3"/>
  </w:num>
  <w:num w:numId="3" w16cid:durableId="1665546928">
    <w:abstractNumId w:val="1"/>
  </w:num>
  <w:num w:numId="4" w16cid:durableId="1562476292">
    <w:abstractNumId w:val="2"/>
  </w:num>
  <w:num w:numId="5" w16cid:durableId="1605336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88"/>
    <w:rsid w:val="000828A0"/>
    <w:rsid w:val="000A4E9A"/>
    <w:rsid w:val="00274D55"/>
    <w:rsid w:val="00481786"/>
    <w:rsid w:val="00596A4A"/>
    <w:rsid w:val="008923E9"/>
    <w:rsid w:val="00DE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4DFFFA"/>
  <w15:docId w15:val="{DB40A64B-30C5-234F-ABA3-7347498D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widowControl w:val="0"/>
        <w:spacing w:before="160"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  <w:bCs/>
      <w:color w:val="3E779B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0"/>
    </w:pPr>
    <w:rPr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</w:pPr>
    <w:rPr>
      <w:rFonts w:ascii="Georgia" w:eastAsia="Georgia" w:hAnsi="Georgia" w:cs="Georgia"/>
      <w:i/>
      <w:iCs/>
      <w:color w:val="666666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28A0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828A0"/>
  </w:style>
  <w:style w:type="paragraph" w:styleId="Footer">
    <w:name w:val="footer"/>
    <w:basedOn w:val="Normal"/>
    <w:link w:val="FooterChar"/>
    <w:uiPriority w:val="99"/>
    <w:unhideWhenUsed/>
    <w:rsid w:val="000828A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828A0"/>
  </w:style>
  <w:style w:type="character" w:customStyle="1" w:styleId="TitleChar">
    <w:name w:val="Title Char"/>
    <w:basedOn w:val="DefaultParagraphFont"/>
    <w:link w:val="Title"/>
    <w:uiPriority w:val="10"/>
    <w:rsid w:val="000828A0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Clapman</cp:lastModifiedBy>
  <cp:revision>4</cp:revision>
  <dcterms:created xsi:type="dcterms:W3CDTF">2026-02-21T22:33:00Z</dcterms:created>
  <dcterms:modified xsi:type="dcterms:W3CDTF">2026-02-21T22:44:00Z</dcterms:modified>
</cp:coreProperties>
</file>