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>
      <w:pPr/>
    </w:p>
    <w:p>
      <w:pPr/>
      <w:r>
        <w:rPr>
          <w:b/>
          <w:sz w:val="28"/>
        </w:rPr>
        <w:t>Key Benefits</w:t>
      </w:r>
    </w:p>
    <w:p>
      <w:pPr/>
      <w:r>
        <w:t xml:space="preserve">• </w:t>
      </w:r>
      <w:r>
        <w:rPr>
          <w:b/>
        </w:rPr>
        <w:t xml:space="preserve">Align early on what matters: </w:t>
      </w:r>
      <w:r>
        <w:t>Business drivers, critical journeys, and measurable success criteria guide the health check and keep recommendations outcome-focused.</w:t>
      </w:r>
    </w:p>
    <w:p>
      <w:pPr/>
      <w:r>
        <w:t xml:space="preserve">• </w:t>
      </w:r>
      <w:r>
        <w:rPr>
          <w:b/>
        </w:rPr>
        <w:t xml:space="preserve">Reduce rework and surprises: </w:t>
      </w:r>
      <w:r>
        <w:t>Capture requirements, flows, and environment facts up front so working sessions focus on decisions—not rediscovering basics.</w:t>
      </w:r>
    </w:p>
    <w:p>
      <w:pPr/>
      <w:r>
        <w:t xml:space="preserve">• </w:t>
      </w:r>
      <w:r>
        <w:rPr>
          <w:b/>
        </w:rPr>
        <w:t xml:space="preserve">Enable a fast, high-quality assessment: </w:t>
      </w:r>
      <w:r>
        <w:t>Standardized inputs make the Well‑Architected analysis consistent, repeatable, and evidence-backed.</w:t>
      </w:r>
    </w:p>
    <w:p>
      <w:pPr/>
    </w:p>
    <w:p>
      <w:pPr>
        <w:pStyle w:val="Heading1"/>
      </w:pPr>
      <w:r>
        <w:t>Purpose and Scope</w:t>
      </w:r>
    </w:p>
    <w:p>
      <w:pPr/>
      <w:r>
        <w:rPr>
          <w:b w:val="0"/>
        </w:rPr>
        <w:t>This questionnaire collects the minimum set of business, technical, and operational inputs needed to plan and execute a Well‑Architected Health Check for Ping Identity deployments (PingOne services, PingOne Advanced Identity Cloud, and/or self-hosted components). It is designed to be completed by customer and partner stakeholders prior to kickoff so workshops can focus on architecture decisions and actionable outcomes.</w:t>
      </w:r>
    </w:p>
    <w:p>
      <w:pPr/>
    </w:p>
    <w:p>
      <w:pPr>
        <w:pStyle w:val="Heading1"/>
      </w:pPr>
      <w:r>
        <w:t>How to Use This Questionnaire</w:t>
      </w:r>
    </w:p>
    <w:p>
      <w:pPr/>
      <w:r>
        <w:rPr>
          <w:b w:val="0"/>
        </w:rPr>
        <w:t>• Complete all sections that apply to your scope. If a section is not applicable, mark it as N/A and provide a brief reason.</w:t>
      </w:r>
    </w:p>
    <w:p>
      <w:pPr/>
      <w:r>
        <w:rPr>
          <w:b w:val="0"/>
        </w:rPr>
        <w:t>• Use concise bullet answers where possible. When you reference existing artifacts, include a link or attach the file.</w:t>
      </w:r>
    </w:p>
    <w:p>
      <w:pPr/>
      <w:r>
        <w:t xml:space="preserve">• </w:t>
      </w:r>
      <w:r>
        <w:rPr>
          <w:b/>
        </w:rPr>
        <w:t xml:space="preserve">Call out assumptions and unknowns explicitly (for example: </w:t>
      </w:r>
      <w:r>
        <w:t>“unknown peak TPS; will confirm by &lt;date&gt;”).</w:t>
      </w:r>
    </w:p>
    <w:p>
      <w:pPr/>
      <w:r>
        <w:rPr>
          <w:b w:val="0"/>
        </w:rPr>
        <w:t>• If exports contain sensitive data (PII/secrets), provide redacted versions or follow your approved handling procedures.</w:t>
      </w:r>
    </w:p>
    <w:p>
      <w:pPr/>
      <w:r>
        <w:rPr>
          <w:b/>
        </w:rPr>
        <w:t>Timing</w:t>
      </w:r>
    </w:p>
    <w:p>
      <w:pPr/>
      <w:r>
        <w:rPr>
          <w:b w:val="0"/>
        </w:rPr>
        <w:t>• Share initial responses prior to kickoff; updates are welcome up to 48 hours before the evidence review session.</w:t>
      </w:r>
    </w:p>
    <w:p>
      <w:pPr/>
    </w:p>
    <w:p>
      <w:pPr>
        <w:pStyle w:val="Heading3"/>
      </w:pPr>
      <w:r>
        <w:t>What We Will Produce</w:t>
      </w:r>
    </w:p>
    <w:p>
      <w:pPr/>
      <w:r>
        <w:rPr>
          <w:b w:val="0"/>
        </w:rPr>
        <w:t>• A scoped workshop plan and evidence request list tailored to your business outcomes and target architecture.</w:t>
      </w:r>
    </w:p>
    <w:p>
      <w:pPr/>
      <w:r>
        <w:rPr>
          <w:b w:val="0"/>
        </w:rPr>
        <w:t>• A Well‑Architected findings report aligned to the Ping Well‑Architected Framework pillars, with prioritized recommendations and next steps.</w:t>
      </w:r>
    </w:p>
    <w:p>
      <w:pPr/>
    </w:p>
    <w:p>
      <w:pPr>
        <w:pStyle w:val="Heading3"/>
      </w:pPr>
      <w:r>
        <w:t>What This Is Not</w:t>
      </w:r>
    </w:p>
    <w:p>
      <w:pPr/>
      <w:r>
        <w:rPr>
          <w:b w:val="0"/>
        </w:rPr>
        <w:t>• This is not a detailed design document and does not replace your internal architecture/design sign-off artifacts.</w:t>
      </w:r>
    </w:p>
    <w:p>
      <w:pPr/>
      <w:r>
        <w:rPr>
          <w:b w:val="0"/>
        </w:rPr>
        <w:t>• No implementation or remediation is performed as part of completing this questionnaire.</w:t>
      </w:r>
    </w:p>
    <w:p>
      <w:pPr/>
    </w:p>
    <w:p>
      <w:pPr>
        <w:pStyle w:val="Heading1"/>
      </w:pPr>
      <w:r>
        <w:t>Definitions and Conventions</w:t>
      </w:r>
    </w:p>
    <w:p>
      <w:pPr/>
      <w:r>
        <w:t xml:space="preserve">• </w:t>
      </w:r>
      <w:r>
        <w:rPr>
          <w:b/>
        </w:rPr>
        <w:t xml:space="preserve">Journey/Flow: </w:t>
      </w:r>
      <w:r>
        <w:t>A user or system interaction sequence (for example: login, registration, password reset, step‑up MFA, token exchange).</w:t>
      </w:r>
    </w:p>
    <w:p>
      <w:pPr/>
      <w:r>
        <w:t xml:space="preserve">• </w:t>
      </w:r>
      <w:r>
        <w:rPr>
          <w:b/>
        </w:rPr>
        <w:t xml:space="preserve">Environment: </w:t>
      </w:r>
      <w:r>
        <w:t>A distinct deployment tier (DEV/TEST/UAT/STAGE/PROD) and region/topology (single-region, multi-region, HA/DR).</w:t>
      </w:r>
    </w:p>
    <w:p>
      <w:pPr/>
      <w:r>
        <w:t xml:space="preserve">• </w:t>
      </w:r>
      <w:r>
        <w:rPr>
          <w:b/>
        </w:rPr>
        <w:t xml:space="preserve">SLO/SLI/KPI: </w:t>
      </w:r>
      <w:r>
        <w:t>Service-level objective/indicator and business metric used to measure success.</w:t>
      </w:r>
    </w:p>
    <w:p>
      <w:pPr/>
      <w:r>
        <w:t xml:space="preserve">• </w:t>
      </w:r>
      <w:r>
        <w:rPr>
          <w:b/>
        </w:rPr>
        <w:t xml:space="preserve">Peak load: </w:t>
      </w:r>
      <w:r>
        <w:t>Your highest expected concurrent users and/or transactions per second (TPS) during busy periods.</w:t>
      </w:r>
    </w:p>
    <w:p>
      <w:pPr/>
    </w:p>
    <w:p>
      <w:pPr>
        <w:pStyle w:val="Heading1"/>
      </w:pPr>
      <w:r>
        <w:t>Questionnaire Objectives</w:t>
      </w:r>
    </w:p>
    <w:p>
      <w:pPr/>
      <w:r>
        <w:t xml:space="preserve">• </w:t>
      </w:r>
      <w:r>
        <w:rPr>
          <w:b/>
        </w:rPr>
        <w:t xml:space="preserve">Business drivers: </w:t>
      </w:r>
      <w:r>
        <w:t>Capture the “why” behind the initiative (outcomes, constraints, deadlines, dependencies, and decision criteria).</w:t>
      </w:r>
    </w:p>
    <w:p>
      <w:pPr/>
      <w:r>
        <w:t xml:space="preserve">• </w:t>
      </w:r>
      <w:r>
        <w:rPr>
          <w:b/>
        </w:rPr>
        <w:t xml:space="preserve">Primary journeys and integrations: </w:t>
      </w:r>
      <w:r>
        <w:t>Who signs in, where sign-in starts, what applications rely on it, and how step‑up/MFA is invoked.</w:t>
      </w:r>
    </w:p>
    <w:p>
      <w:pPr/>
      <w:r>
        <w:t xml:space="preserve">• </w:t>
      </w:r>
      <w:r>
        <w:rPr>
          <w:b/>
        </w:rPr>
        <w:t xml:space="preserve">Non-functional requirements: </w:t>
      </w:r>
      <w:r>
        <w:t>Availability/SLOs, performance/latency targets, peak volumes, RTO/RPO, compliance, and audit/logging expectations.</w:t>
      </w:r>
    </w:p>
    <w:p>
      <w:pPr/>
      <w:r>
        <w:t xml:space="preserve">• </w:t>
      </w:r>
      <w:r>
        <w:rPr>
          <w:b/>
        </w:rPr>
        <w:t xml:space="preserve">Scope and components: </w:t>
      </w:r>
      <w:r>
        <w:t>PingOne services and/or AIC/self-hosted (AM/IDM/DS/IG/CTS/RCS/agents) plus key external dependencies and boundaries.</w:t>
      </w:r>
    </w:p>
    <w:p>
      <w:pPr/>
      <w:r>
        <w:t xml:space="preserve">• </w:t>
      </w:r>
      <w:r>
        <w:rPr>
          <w:b/>
        </w:rPr>
        <w:t xml:space="preserve">Stakeholders and operating model: </w:t>
      </w:r>
      <w:r>
        <w:t>Ownership (RACI), on-call/escalations, change/promotion flow, and support responsibilities.</w:t>
      </w:r>
    </w:p>
    <w:p>
      <w:pPr/>
    </w:p>
    <w:p>
      <w:pPr>
        <w:pStyle w:val="Heading1"/>
      </w:pPr>
      <w:r>
        <w:t>In-Scope Platforms (Examples)</w:t>
      </w:r>
    </w:p>
    <w:p>
      <w:pPr/>
      <w:r>
        <w:t xml:space="preserve">• </w:t>
      </w:r>
      <w:r>
        <w:rPr>
          <w:b/>
        </w:rPr>
        <w:t xml:space="preserve">PingOne services: </w:t>
      </w:r>
      <w:r>
        <w:t>SSO, MFA, DaVinci, Protect, Verify, Directory, etc.</w:t>
      </w:r>
    </w:p>
    <w:p>
      <w:pPr/>
      <w:r>
        <w:rPr>
          <w:b w:val="0"/>
        </w:rPr>
        <w:t>• PingOne Advanced Identity Cloud (AIC) and/or self-hosted Ping components: AM, IDM, DS, IG, CTS, RCS, agents, and supporting services.</w:t>
      </w:r>
    </w:p>
    <w:p>
      <w:pPr/>
    </w:p>
    <w:p>
      <w:pPr>
        <w:pStyle w:val="Heading1"/>
      </w:pPr>
      <w:r>
        <w:t>Intake Sections</w:t>
      </w:r>
    </w:p>
    <w:p>
      <w:pPr/>
      <w:r>
        <w:rPr>
          <w:b w:val="0"/>
        </w:rPr>
        <w:t>Guidance: Answer each section with concise bullets. Attach or link supporting artifacts where available.</w:t>
      </w:r>
    </w:p>
    <w:p>
      <w:pPr/>
    </w:p>
    <w:p>
      <w:pPr>
        <w:pStyle w:val="Heading3"/>
      </w:pPr>
      <w:r>
        <w:t>A. Business Drivers and Success Metrics</w:t>
      </w:r>
    </w:p>
    <w:p>
      <w:pPr/>
      <w:r>
        <w:rPr>
          <w:b w:val="0"/>
        </w:rPr>
        <w:t>• What business outcomes are driving this initiative (for example: reduce fraud, improve conversion, enable partner access, meet a regulatory deadline)?</w:t>
      </w:r>
    </w:p>
    <w:p>
      <w:pPr/>
      <w:r>
        <w:rPr>
          <w:b w:val="0"/>
        </w:rPr>
        <w:t>• What are the top success metrics? Include baseline → target where possible (KPIs/SLIs/SLOs).</w:t>
      </w:r>
    </w:p>
    <w:p>
      <w:pPr/>
      <w:r>
        <w:t xml:space="preserve">• </w:t>
      </w:r>
      <w:r>
        <w:rPr>
          <w:b/>
        </w:rPr>
        <w:t xml:space="preserve">Key dates: </w:t>
      </w:r>
      <w:r>
        <w:t>launch milestones, regulatory deadlines, contract renewals, or dependencies.</w:t>
      </w:r>
    </w:p>
    <w:p>
      <w:pPr/>
      <w:r>
        <w:t xml:space="preserve">• </w:t>
      </w:r>
      <w:r>
        <w:rPr>
          <w:b/>
        </w:rPr>
        <w:t xml:space="preserve">Constraints and guardrails: </w:t>
      </w:r>
      <w:r>
        <w:t>budget, timelines, mandated platforms, data residency, vendor/tooling constraints.</w:t>
      </w:r>
    </w:p>
    <w:p>
      <w:pPr/>
      <w:r>
        <w:t xml:space="preserve">• </w:t>
      </w:r>
      <w:r>
        <w:rPr>
          <w:b/>
        </w:rPr>
        <w:t xml:space="preserve">Risk tolerance and decision criteria: </w:t>
      </w:r>
      <w:r>
        <w:t>what trade-offs are acceptable (cost vs. resilience, UX vs. security, speed vs. governance)?</w:t>
      </w:r>
    </w:p>
    <w:p>
      <w:pPr/>
    </w:p>
    <w:p>
      <w:pPr>
        <w:pStyle w:val="Heading3"/>
      </w:pPr>
      <w:r>
        <w:t>B. Primary Use Cases / Journeys</w:t>
      </w:r>
    </w:p>
    <w:p>
      <w:pPr/>
      <w:r>
        <w:rPr>
          <w:b w:val="0"/>
        </w:rPr>
        <w:t>• List the top journeys in priority order (login, registration, account recovery, device binding, step‑up MFA, token exchange, API authorization).</w:t>
      </w:r>
    </w:p>
    <w:p>
      <w:pPr/>
      <w:r>
        <w:t xml:space="preserve">• </w:t>
      </w:r>
      <w:r>
        <w:rPr>
          <w:b/>
        </w:rPr>
        <w:t xml:space="preserve">Channels: </w:t>
      </w:r>
      <w:r>
        <w:t>web, mobile, SPA, native apps, APIs, service-to-service, call center/help desk.</w:t>
      </w:r>
    </w:p>
    <w:p>
      <w:pPr/>
      <w:r>
        <w:t xml:space="preserve">• </w:t>
      </w:r>
      <w:r>
        <w:rPr>
          <w:b/>
        </w:rPr>
        <w:t xml:space="preserve">Entry points: </w:t>
      </w:r>
      <w:r>
        <w:t>where does authentication start (app, gateway, centralized login, embedded)?</w:t>
      </w:r>
    </w:p>
    <w:p>
      <w:pPr/>
      <w:r>
        <w:t xml:space="preserve">• </w:t>
      </w:r>
      <w:r>
        <w:rPr>
          <w:b/>
        </w:rPr>
        <w:t xml:space="preserve">Exception paths: </w:t>
      </w:r>
      <w:r>
        <w:t>lockouts, timeouts, loops, device change, out-of-band recovery, step-up triggers, partial enrollment.</w:t>
      </w:r>
    </w:p>
    <w:p>
      <w:pPr/>
      <w:r>
        <w:t xml:space="preserve">• </w:t>
      </w:r>
      <w:r>
        <w:rPr>
          <w:b/>
        </w:rPr>
        <w:t xml:space="preserve">User populations: </w:t>
      </w:r>
      <w:r>
        <w:t>workforce vs. consumer vs. partners; segmentation/tenancy; any unique UX or policy differences.</w:t>
      </w:r>
    </w:p>
    <w:p>
      <w:pPr/>
    </w:p>
    <w:p>
      <w:pPr>
        <w:pStyle w:val="Heading3"/>
      </w:pPr>
      <w:r>
        <w:t>C. Architecture and Integrations</w:t>
      </w:r>
    </w:p>
    <w:p>
      <w:pPr/>
      <w:r>
        <w:rPr>
          <w:b w:val="0"/>
        </w:rPr>
        <w:t>• Provide a logical architecture diagram and (if available) a physical/topology diagram with trust boundaries.</w:t>
      </w:r>
    </w:p>
    <w:p>
      <w:pPr/>
      <w:r>
        <w:t xml:space="preserve">• </w:t>
      </w:r>
      <w:r>
        <w:rPr>
          <w:b/>
        </w:rPr>
        <w:t xml:space="preserve">Directories and identity sources: </w:t>
      </w:r>
      <w:r>
        <w:t>authoritative systems, replication model, sync/SCIM, identity lifecycle events.</w:t>
      </w:r>
    </w:p>
    <w:p>
      <w:pPr/>
      <w:r>
        <w:t xml:space="preserve">• </w:t>
      </w:r>
      <w:r>
        <w:rPr>
          <w:b/>
        </w:rPr>
        <w:t xml:space="preserve">Application inventory: </w:t>
      </w:r>
      <w:r>
        <w:t>relying parties, protocols (OIDC/SAML), token lifetimes, claims requirements, logout patterns.</w:t>
      </w:r>
    </w:p>
    <w:p>
      <w:pPr/>
      <w:r>
        <w:t xml:space="preserve">• </w:t>
      </w:r>
      <w:r>
        <w:rPr>
          <w:b/>
        </w:rPr>
        <w:t xml:space="preserve">Integration dependencies: </w:t>
      </w:r>
      <w:r>
        <w:t>APIs, gateways, WAF/CDN, risk engines, email/SMS, push providers, KYC/IDV, analytics.</w:t>
      </w:r>
    </w:p>
    <w:p>
      <w:pPr/>
      <w:r>
        <w:t xml:space="preserve">• </w:t>
      </w:r>
      <w:r>
        <w:rPr>
          <w:b/>
        </w:rPr>
        <w:t xml:space="preserve">Secrets and key management: </w:t>
      </w:r>
      <w:r>
        <w:t>where keys live, rotation approach, HSM/KMS usage, certificate lifecycle management.</w:t>
      </w:r>
    </w:p>
    <w:p>
      <w:pPr/>
    </w:p>
    <w:p>
      <w:pPr>
        <w:pStyle w:val="Heading3"/>
      </w:pPr>
      <w:r>
        <w:t>D. Non‑Functional Requirements</w:t>
      </w:r>
    </w:p>
    <w:p>
      <w:pPr/>
      <w:r>
        <w:t xml:space="preserve">• </w:t>
      </w:r>
      <w:r>
        <w:rPr>
          <w:b/>
        </w:rPr>
        <w:t xml:space="preserve">Availability and resilience targets: </w:t>
      </w:r>
      <w:r>
        <w:t>SLOs/SLAs, error budgets, multi-region expectations, planned maintenance windows.</w:t>
      </w:r>
    </w:p>
    <w:p>
      <w:pPr/>
      <w:r>
        <w:t xml:space="preserve">• </w:t>
      </w:r>
      <w:r>
        <w:rPr>
          <w:b/>
        </w:rPr>
        <w:t xml:space="preserve">Performance targets: </w:t>
      </w:r>
      <w:r>
        <w:t>login latency budgets (p50/p95/p99), token issuance, directory lookups, MFA interactions.</w:t>
      </w:r>
    </w:p>
    <w:p>
      <w:pPr/>
      <w:r>
        <w:t xml:space="preserve">• </w:t>
      </w:r>
      <w:r>
        <w:rPr>
          <w:b/>
        </w:rPr>
        <w:t xml:space="preserve">Volume assumptions: </w:t>
      </w:r>
      <w:r>
        <w:t>peak TPS, daily active users, concurrent sessions, federation partner counts, burst patterns.</w:t>
      </w:r>
    </w:p>
    <w:p>
      <w:pPr/>
      <w:r>
        <w:t xml:space="preserve">• </w:t>
      </w:r>
      <w:r>
        <w:rPr>
          <w:b/>
        </w:rPr>
        <w:t xml:space="preserve">RTO/RPO and DR: </w:t>
      </w:r>
      <w:r>
        <w:t>recovery objectives, backup/restore, failover testing cadence, dependency DR alignment.</w:t>
      </w:r>
    </w:p>
    <w:p>
      <w:pPr/>
      <w:r>
        <w:t xml:space="preserve">• </w:t>
      </w:r>
      <w:r>
        <w:rPr>
          <w:b/>
        </w:rPr>
        <w:t xml:space="preserve">Compliance and audit: </w:t>
      </w:r>
      <w:r>
        <w:t>SOC2/ISO, PCI, HIPAA, GDPR/CCPA, logging retention, evidentiary requirements.</w:t>
      </w:r>
    </w:p>
    <w:p>
      <w:pPr/>
      <w:r>
        <w:t xml:space="preserve">• </w:t>
      </w:r>
      <w:r>
        <w:rPr>
          <w:b/>
        </w:rPr>
        <w:t xml:space="preserve">Data residency and privacy: </w:t>
      </w:r>
      <w:r>
        <w:t>where identities and logs may be stored/processed; encryption requirements.</w:t>
      </w:r>
    </w:p>
    <w:p>
      <w:pPr/>
    </w:p>
    <w:p>
      <w:pPr>
        <w:pStyle w:val="Heading3"/>
      </w:pPr>
      <w:r>
        <w:t>E. Security, Risk, and Policy</w:t>
      </w:r>
    </w:p>
    <w:p>
      <w:pPr/>
      <w:r>
        <w:t xml:space="preserve">• </w:t>
      </w:r>
      <w:r>
        <w:rPr>
          <w:b/>
        </w:rPr>
        <w:t xml:space="preserve">Authentication policy: </w:t>
      </w:r>
      <w:r>
        <w:t>passwordless goals, MFA requirements, step‑up conditions, device posture, geo/IP rules.</w:t>
      </w:r>
    </w:p>
    <w:p>
      <w:pPr/>
      <w:r>
        <w:t xml:space="preserve">• </w:t>
      </w:r>
      <w:r>
        <w:rPr>
          <w:b/>
        </w:rPr>
        <w:t xml:space="preserve">Threat model considerations: </w:t>
      </w:r>
      <w:r>
        <w:t>fraud patterns, credential stuffing, bot traffic, phishing resistance requirements.</w:t>
      </w:r>
    </w:p>
    <w:p>
      <w:pPr/>
      <w:r>
        <w:t xml:space="preserve">• </w:t>
      </w:r>
      <w:r>
        <w:rPr>
          <w:b/>
        </w:rPr>
        <w:t xml:space="preserve">Access model: </w:t>
      </w:r>
      <w:r>
        <w:t>RBAC/ABAC, entitlements, admin delegation, least privilege, service accounts.</w:t>
      </w:r>
    </w:p>
    <w:p>
      <w:pPr/>
      <w:r>
        <w:t xml:space="preserve">• </w:t>
      </w:r>
      <w:r>
        <w:rPr>
          <w:b/>
        </w:rPr>
        <w:t xml:space="preserve">Session and token security: </w:t>
      </w:r>
      <w:r>
        <w:t>token lifetimes, refresh policies, binding, logout, replay protections.</w:t>
      </w:r>
    </w:p>
    <w:p>
      <w:pPr/>
      <w:r>
        <w:t xml:space="preserve">• </w:t>
      </w:r>
      <w:r>
        <w:rPr>
          <w:b/>
        </w:rPr>
        <w:t xml:space="preserve">Logging and monitoring for security: </w:t>
      </w:r>
      <w:r>
        <w:t>audit events, SIEM integration, alerting thresholds, incident workflows.</w:t>
      </w:r>
    </w:p>
    <w:p>
      <w:pPr/>
    </w:p>
    <w:p>
      <w:pPr>
        <w:pStyle w:val="Heading3"/>
      </w:pPr>
      <w:r>
        <w:t>F. Operations and Delivery Model</w:t>
      </w:r>
    </w:p>
    <w:p>
      <w:pPr/>
      <w:r>
        <w:t xml:space="preserve">• </w:t>
      </w:r>
      <w:r>
        <w:rPr>
          <w:b/>
        </w:rPr>
        <w:t xml:space="preserve">Operating model: </w:t>
      </w:r>
      <w:r>
        <w:t>who owns IAM platform operations vs. app teams (include a high-level RACI).</w:t>
      </w:r>
    </w:p>
    <w:p>
      <w:pPr/>
      <w:r>
        <w:t xml:space="preserve">• </w:t>
      </w:r>
      <w:r>
        <w:rPr>
          <w:b/>
        </w:rPr>
        <w:t xml:space="preserve">Promotion and change management: </w:t>
      </w:r>
      <w:r>
        <w:t>manual vs. CI/CD, environments, approvals, change windows, break-glass access.</w:t>
      </w:r>
    </w:p>
    <w:p>
      <w:pPr/>
      <w:r>
        <w:t xml:space="preserve">• </w:t>
      </w:r>
      <w:r>
        <w:rPr>
          <w:b/>
        </w:rPr>
        <w:t xml:space="preserve">Rollback strategy: </w:t>
      </w:r>
      <w:r>
        <w:t>how you revert configuration and deployments; artifact versioning; emergency changes.</w:t>
      </w:r>
    </w:p>
    <w:p>
      <w:pPr/>
      <w:r>
        <w:t xml:space="preserve">• </w:t>
      </w:r>
      <w:r>
        <w:rPr>
          <w:b/>
        </w:rPr>
        <w:t xml:space="preserve">Observability: </w:t>
      </w:r>
      <w:r>
        <w:t>monitoring/alerting, dashboards, SLI definitions, synthetic testing, log aggregation.</w:t>
      </w:r>
    </w:p>
    <w:p>
      <w:pPr/>
      <w:r>
        <w:t xml:space="preserve">• </w:t>
      </w:r>
      <w:r>
        <w:rPr>
          <w:b/>
        </w:rPr>
        <w:t xml:space="preserve">Incident response: </w:t>
      </w:r>
      <w:r>
        <w:t>on-call coverage, escalation paths, runbooks, post-incident reviews, support contracts.</w:t>
      </w:r>
    </w:p>
    <w:p>
      <w:pPr/>
    </w:p>
    <w:p>
      <w:pPr>
        <w:pStyle w:val="Heading3"/>
      </w:pPr>
      <w:r>
        <w:t>G. Scope Inventory</w:t>
      </w:r>
    </w:p>
    <w:p>
      <w:pPr/>
      <w:r>
        <w:rPr>
          <w:b w:val="0"/>
        </w:rPr>
        <w:t>• List the Ping services/components in scope and their versions (PingOne services, AIC, AM/IDM/DS/IG/CTS/RCS/agents).</w:t>
      </w:r>
    </w:p>
    <w:p>
      <w:pPr/>
      <w:r>
        <w:t xml:space="preserve">• </w:t>
      </w:r>
      <w:r>
        <w:rPr>
          <w:b/>
        </w:rPr>
        <w:t xml:space="preserve">Environments: </w:t>
      </w:r>
      <w:r>
        <w:t>DEV/TEST/UAT/STAGE/PROD and regions; describe HA/DR topology.</w:t>
      </w:r>
    </w:p>
    <w:p>
      <w:pPr/>
      <w:r>
        <w:t xml:space="preserve">• </w:t>
      </w:r>
      <w:r>
        <w:rPr>
          <w:b/>
        </w:rPr>
        <w:t xml:space="preserve">Network boundaries and access paths: </w:t>
      </w:r>
      <w:r>
        <w:t>inbound/outbound controls, private connectivity, proxies, DNS, load balancers.</w:t>
      </w:r>
    </w:p>
    <w:p>
      <w:pPr/>
      <w:r>
        <w:t xml:space="preserve">• </w:t>
      </w:r>
      <w:r>
        <w:rPr>
          <w:b/>
        </w:rPr>
        <w:t xml:space="preserve">Key dependencies: </w:t>
      </w:r>
      <w:r>
        <w:t>databases, queues, object storage, CI/CD systems, secrets/KMS, observability tooling.</w:t>
      </w:r>
    </w:p>
    <w:p>
      <w:pPr/>
      <w:r>
        <w:t xml:space="preserve">• </w:t>
      </w:r>
      <w:r>
        <w:rPr>
          <w:b/>
        </w:rPr>
        <w:t xml:space="preserve">Constraints on evidence sharing: </w:t>
      </w:r>
      <w:r>
        <w:t>what can/cannot be provided, redaction rules, security review requirements.</w:t>
      </w:r>
    </w:p>
    <w:p>
      <w:pPr/>
    </w:p>
    <w:p>
      <w:pPr>
        <w:pStyle w:val="Heading1"/>
      </w:pPr>
      <w:r>
        <w:t>Stakeholders and Contacts</w:t>
      </w:r>
    </w:p>
    <w:p>
      <w:pPr/>
      <w:r>
        <w:t xml:space="preserve">• </w:t>
      </w:r>
      <w:r>
        <w:rPr>
          <w:b/>
        </w:rPr>
        <w:t xml:space="preserve">Decision-makers: </w:t>
      </w:r>
      <w:r>
        <w:t>business sponsor, security owner, platform owner, and architecture authority.</w:t>
      </w:r>
    </w:p>
    <w:p>
      <w:pPr/>
      <w:r>
        <w:t xml:space="preserve">• </w:t>
      </w:r>
      <w:r>
        <w:rPr>
          <w:b/>
        </w:rPr>
        <w:t xml:space="preserve">SMEs per area: </w:t>
      </w:r>
      <w:r>
        <w:t>IAM/SSO, directory, MFA/risk, networking, app owners, DevOps/SRE, security operations.</w:t>
      </w:r>
    </w:p>
    <w:p>
      <w:pPr/>
      <w:r>
        <w:t xml:space="preserve">• </w:t>
      </w:r>
      <w:r>
        <w:rPr>
          <w:b/>
        </w:rPr>
        <w:t xml:space="preserve">Engagement logistics: </w:t>
      </w:r>
      <w:r>
        <w:t>preferred communication channels, escalation contacts, meeting cadence, working session availability.</w:t>
      </w:r>
    </w:p>
    <w:p>
      <w:pPr/>
    </w:p>
    <w:p>
      <w:pPr>
        <w:pStyle w:val="Heading3"/>
      </w:pPr>
      <w:r>
        <w:t>Attachments / Links (Optional but Helpful)</w:t>
      </w:r>
    </w:p>
    <w:p>
      <w:pPr/>
      <w:r>
        <w:rPr>
          <w:b w:val="0"/>
        </w:rPr>
        <w:t>• Architecture diagrams (logical + physical/topology)</w:t>
      </w:r>
    </w:p>
    <w:p>
      <w:pPr/>
      <w:r>
        <w:rPr>
          <w:b w:val="0"/>
        </w:rPr>
        <w:t>• Sequence diagrams for top journeys (login, reset, step‑up)</w:t>
      </w:r>
    </w:p>
    <w:p>
      <w:pPr/>
      <w:r>
        <w:rPr>
          <w:b w:val="0"/>
        </w:rPr>
        <w:t>• Environment inventory (regions, HA/DR, versions)</w:t>
      </w:r>
    </w:p>
    <w:p>
      <w:pPr/>
      <w:r>
        <w:rPr>
          <w:b w:val="0"/>
        </w:rPr>
        <w:t>• Application integration list (protocols, redirect URIs, claims, logout)</w:t>
      </w:r>
    </w:p>
    <w:p>
      <w:pPr/>
      <w:r>
        <w:rPr>
          <w:b w:val="0"/>
        </w:rPr>
        <w:t>• SLO/SLI definitions and recent performance/availability data</w:t>
      </w:r>
    </w:p>
    <w:p>
      <w:pPr/>
      <w:r>
        <w:rPr>
          <w:b w:val="0"/>
        </w:rPr>
        <w:t>• Security/compliance requirements, audit logging requirements, retention policies</w:t>
      </w:r>
    </w:p>
    <w:p>
      <w:pPr/>
    </w:p>
    <w:p>
      <w:pPr>
        <w:pStyle w:val="Heading3"/>
      </w:pPr>
      <w:r>
        <w:t>Deliverables</w:t>
      </w:r>
    </w:p>
    <w:p>
      <w:pPr/>
      <w:r>
        <w:rPr>
          <w:b w:val="0"/>
        </w:rPr>
        <w:t>• A completed intake questionnaire used to plan the Well‑Architected Health Check sessions and evidence collection.</w:t>
      </w:r>
    </w:p>
    <w:p>
      <w:pPr/>
      <w:r>
        <w:rPr>
          <w:b w:val="0"/>
        </w:rPr>
        <w:t>• A draft scope summary and workshop plan tailored to your goals and constraints.</w:t>
      </w:r>
    </w:p>
    <w:p>
      <w:pPr/>
    </w:p>
    <w:p>
      <w:pPr>
        <w:pStyle w:val="Heading3"/>
      </w:pPr>
      <w:r>
        <w:t>Exclusions</w:t>
      </w:r>
    </w:p>
    <w:p>
      <w:pPr/>
      <w:r>
        <w:rPr>
          <w:b w:val="0"/>
        </w:rPr>
        <w:t>• This questionnaire is not a detailed design document.</w:t>
      </w:r>
    </w:p>
    <w:p>
      <w:pPr/>
      <w:r>
        <w:rPr>
          <w:b w:val="0"/>
        </w:rPr>
        <w:t>• No implementation or remediation is performed as part of this questionnaire.</w:t>
      </w:r>
    </w:p>
    <w:p>
      <w:pPr/>
    </w:p>
    <w:sectPr w:rsidR="006D0AB1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F03AAB" w14:textId="77777777" w:rsidR="00DF13E1" w:rsidRDefault="00DF13E1">
      <w:pPr>
        <w:spacing w:before="0" w:after="0"/>
      </w:pPr>
      <w:r>
        <w:separator/>
      </w:r>
    </w:p>
  </w:endnote>
  <w:endnote w:type="continuationSeparator" w:id="0">
    <w:p w14:paraId="0329DE35" w14:textId="77777777" w:rsidR="00DF13E1" w:rsidRDefault="00DF13E1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121D2D6-F29B-754A-AA02-EB075BCA2370}"/>
    <w:embedBold r:id="rId2" w:fontKey="{B14D4822-E914-F84E-B205-5E8C1BB882F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93F6BF93-DA3D-CB42-8528-281BEDDF0AFE}"/>
    <w:embedBold r:id="rId4" w:fontKey="{189A192E-03B4-6947-9B90-AC04771EC193}"/>
    <w:embedItalic r:id="rId5" w:fontKey="{2A8483A8-2D93-3C40-88EB-771191265641}"/>
    <w:embedBoldItalic r:id="rId6" w:fontKey="{BF323DE9-8B78-DD4E-9AF8-488BAED53C9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18F10251-8253-EE46-83B7-433A5B7024E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568ABCE3-C67C-D04E-8475-F5579C6E51E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5AF0E543-D67B-E447-AFF5-3CE5D4F9477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0A16F3" w14:textId="77777777" w:rsidR="006D0AB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before="0" w:after="0"/>
    </w:pPr>
    <w:r>
      <w:t>Ping Professional Services</w:t>
    </w:r>
    <w:r>
      <w:tab/>
    </w:r>
    <w:r>
      <w:fldChar w:fldCharType="begin"/>
    </w:r>
    <w:r>
      <w:instrText>PAGE</w:instrText>
    </w:r>
    <w:r>
      <w:fldChar w:fldCharType="separate"/>
    </w:r>
    <w:r w:rsidR="002C0B0C">
      <w:rPr>
        <w:noProof/>
      </w:rPr>
      <w:t>1</w:t>
    </w:r>
    <w:r>
      <w:fldChar w:fldCharType="end"/>
    </w:r>
    <w:r>
      <w:tab/>
      <w:t>Feb 27, 2024 v1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8805FB" w14:textId="77777777" w:rsidR="00DF13E1" w:rsidRDefault="00DF13E1">
      <w:pPr>
        <w:spacing w:before="0" w:after="0"/>
      </w:pPr>
      <w:r>
        <w:separator/>
      </w:r>
    </w:p>
  </w:footnote>
  <w:footnote w:type="continuationSeparator" w:id="0">
    <w:p w14:paraId="5C94DCCE" w14:textId="77777777" w:rsidR="00DF13E1" w:rsidRDefault="00DF13E1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8CCA23" w14:textId="77777777" w:rsidR="002C0B0C" w:rsidRDefault="002C0B0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D1B310" w14:textId="4C94F7D7" w:rsidR="002C0B0C" w:rsidRPr="00147A66" w:rsidRDefault="002C0B0C" w:rsidP="002C0B0C">
    <w:pPr>
      <w:pStyle w:val="Title"/>
      <w:keepNext w:val="0"/>
      <w:keepLines w:val="0"/>
      <w:spacing w:before="567"/>
      <w:ind w:firstLine="720"/>
      <w:rPr>
        <w:sz w:val="36"/>
        <w:szCs w:val="36"/>
      </w:rPr>
    </w:pPr>
    <w:r w:rsidRPr="00FB0DEB">
      <w:rPr>
        <w:noProof/>
        <w:color w:val="B3282D"/>
        <w:sz w:val="52"/>
        <w:szCs w:val="52"/>
      </w:rPr>
      <w:drawing>
        <wp:anchor distT="0" distB="0" distL="114300" distR="114300" simplePos="0" relativeHeight="251659264" behindDoc="0" locked="0" layoutInCell="1" hidden="0" allowOverlap="1" wp14:anchorId="08CF72CA" wp14:editId="19735A2B">
          <wp:simplePos x="0" y="0"/>
          <wp:positionH relativeFrom="column">
            <wp:posOffset>-330200</wp:posOffset>
          </wp:positionH>
          <wp:positionV relativeFrom="paragraph">
            <wp:posOffset>314960</wp:posOffset>
          </wp:positionV>
          <wp:extent cx="720000" cy="720000"/>
          <wp:effectExtent l="0" t="0" r="0" b="0"/>
          <wp:wrapSquare wrapText="bothSides" distT="0" distB="0" distL="114300" distR="114300"/>
          <wp:docPr id="2" name="image2.png" descr="Macintosh HD:Users:johntrask:Desktop:Ping Logos:EXP_PIC_square_logo_RGB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Macintosh HD:Users:johntrask:Desktop:Ping Logos:EXP_PIC_square_logo_RGB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0000" cy="72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FB0DEB">
      <w:rPr>
        <w:color w:val="B3282D"/>
        <w:sz w:val="40"/>
        <w:szCs w:val="40"/>
      </w:rPr>
      <w:t>Well-Architected Health Check</w:t>
    </w:r>
    <w:r>
      <w:rPr>
        <w:sz w:val="36"/>
        <w:szCs w:val="36"/>
      </w:rPr>
      <w:br/>
      <w:t xml:space="preserve">  </w:t>
    </w:r>
    <w:r w:rsidR="00FB0DEB" w:rsidRPr="00FB0DEB">
      <w:rPr>
        <w:i/>
        <w:iCs/>
        <w:color w:val="808080" w:themeColor="background1" w:themeShade="80"/>
        <w:sz w:val="22"/>
        <w:szCs w:val="22"/>
      </w:rPr>
      <w:t>Intake Questionnaire - Requirements, Use-Cases &amp; Success Criteria</w:t>
    </w:r>
    <w:r w:rsidRPr="00FB0DEB">
      <w:rPr>
        <w:i/>
        <w:iCs/>
        <w:color w:val="808080" w:themeColor="background1" w:themeShade="80"/>
        <w:sz w:val="22"/>
        <w:szCs w:val="22"/>
      </w:rPr>
      <w:t xml:space="preserve">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3F6665" w14:textId="77777777" w:rsidR="002C0B0C" w:rsidRDefault="002C0B0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5101CD"/>
    <w:multiLevelType w:val="multilevel"/>
    <w:tmpl w:val="774C00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89C709A"/>
    <w:multiLevelType w:val="multilevel"/>
    <w:tmpl w:val="489E5E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1356A5E"/>
    <w:multiLevelType w:val="multilevel"/>
    <w:tmpl w:val="BAE2E0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1EC77C8"/>
    <w:multiLevelType w:val="multilevel"/>
    <w:tmpl w:val="138892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AC26A52"/>
    <w:multiLevelType w:val="multilevel"/>
    <w:tmpl w:val="48D813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448089868">
    <w:abstractNumId w:val="4"/>
  </w:num>
  <w:num w:numId="2" w16cid:durableId="652367988">
    <w:abstractNumId w:val="2"/>
  </w:num>
  <w:num w:numId="3" w16cid:durableId="2036540663">
    <w:abstractNumId w:val="0"/>
  </w:num>
  <w:num w:numId="4" w16cid:durableId="1326934000">
    <w:abstractNumId w:val="1"/>
  </w:num>
  <w:num w:numId="5" w16cid:durableId="10828033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isplayBackgroundShape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0AB1"/>
    <w:rsid w:val="002C0B0C"/>
    <w:rsid w:val="00481786"/>
    <w:rsid w:val="006D0AB1"/>
    <w:rsid w:val="00DF13E1"/>
    <w:rsid w:val="00E96A2D"/>
    <w:rsid w:val="00FB0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325BDE"/>
  <w15:docId w15:val="{DB40A64B-30C5-234F-ABA3-7347498DF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en" w:eastAsia="en-US" w:bidi="ar-SA"/>
      </w:rPr>
    </w:rPrDefault>
    <w:pPrDefault>
      <w:pPr>
        <w:widowControl w:val="0"/>
        <w:spacing w:before="160"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240"/>
      <w:outlineLvl w:val="0"/>
    </w:pPr>
    <w:rPr>
      <w:b/>
      <w:bCs/>
      <w:color w:val="3E779B"/>
      <w:sz w:val="36"/>
      <w:szCs w:val="36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240" w:after="240"/>
      <w:outlineLvl w:val="1"/>
    </w:pPr>
    <w:rPr>
      <w:b/>
      <w:bCs/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outlineLvl w:val="2"/>
    </w:pPr>
    <w:rPr>
      <w:b/>
      <w:bCs/>
      <w:i/>
      <w:i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i/>
      <w:i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keepNext/>
      <w:keepLines/>
      <w:spacing w:after="0"/>
    </w:pPr>
    <w:rPr>
      <w:b/>
      <w:bCs/>
      <w:sz w:val="48"/>
      <w:szCs w:val="4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0"/>
    </w:pPr>
    <w:rPr>
      <w:rFonts w:ascii="Georgia" w:eastAsia="Georgia" w:hAnsi="Georgia" w:cs="Georgia"/>
      <w:i/>
      <w:iCs/>
      <w:color w:val="666666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2C0B0C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2C0B0C"/>
  </w:style>
  <w:style w:type="paragraph" w:styleId="Footer">
    <w:name w:val="footer"/>
    <w:basedOn w:val="Normal"/>
    <w:link w:val="FooterChar"/>
    <w:uiPriority w:val="99"/>
    <w:unhideWhenUsed/>
    <w:rsid w:val="002C0B0C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2C0B0C"/>
  </w:style>
  <w:style w:type="character" w:customStyle="1" w:styleId="TitleChar">
    <w:name w:val="Title Char"/>
    <w:basedOn w:val="DefaultParagraphFont"/>
    <w:link w:val="Title"/>
    <w:uiPriority w:val="10"/>
    <w:rsid w:val="002C0B0C"/>
    <w:rPr>
      <w:b/>
      <w:bCs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'1.0' encoding='UTF-8' standalone='yes'?>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'1.0' encoding='UTF-8' standalone='yes'?>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352</Words>
  <Characters>2008</Characters>
  <Application>Microsoft Office Word</Application>
  <DocSecurity>0</DocSecurity>
  <Lines>16</Lines>
  <Paragraphs>4</Paragraphs>
  <ScaleCrop>false</ScaleCrop>
  <Company/>
  <LinksUpToDate>false</LinksUpToDate>
  <CharactersWithSpaces>2356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Ronald Clapman</cp:lastModifiedBy>
  <cp:revision>3</cp:revision>
  <dcterms:created xsi:type="dcterms:W3CDTF">2026-02-21T22:32:00Z</dcterms:created>
  <dcterms:modified xsi:type="dcterms:W3CDTF">2026-02-21T22:38:00Z</dcterms:modified>
</cp:coreProperties>
</file>