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pPr/>
    </w:p>
    <w:p>
      <w:pPr/>
      <w:r>
        <w:rPr>
          <w:b/>
          <w:sz w:val="28"/>
        </w:rPr>
        <w:t>Key Benefits</w:t>
      </w:r>
    </w:p>
    <w:p>
      <w:pPr/>
      <w:r>
        <w:t xml:space="preserve">• </w:t>
      </w:r>
      <w:r>
        <w:rPr>
          <w:b/>
        </w:rPr>
        <w:t xml:space="preserve">Accelerate discovery: </w:t>
      </w:r>
      <w:r>
        <w:t>Collect the minimum required inputs up front so workshops focus on outcomes and architecture decisions—not chasing missing artifacts.</w:t>
      </w:r>
    </w:p>
    <w:p>
      <w:pPr/>
      <w:r>
        <w:t xml:space="preserve">• </w:t>
      </w:r>
      <w:r>
        <w:rPr>
          <w:b/>
        </w:rPr>
        <w:t xml:space="preserve">Evidence‑backed findings: </w:t>
      </w:r>
      <w:r>
        <w:t>Establish an objective baseline from configuration exports, architecture artifacts, and recent operational/support history so recommendations are repeatable and traceable.</w:t>
      </w:r>
    </w:p>
    <w:p>
      <w:pPr/>
      <w:r>
        <w:t xml:space="preserve">• </w:t>
      </w:r>
      <w:r>
        <w:rPr>
          <w:b/>
        </w:rPr>
        <w:t xml:space="preserve">Reduce rework: </w:t>
      </w:r>
      <w:r>
        <w:t>Ensure the right SMEs and artifacts are available at the right time to avoid schedule churn, re‑analysis, and late surprises.</w:t>
      </w:r>
    </w:p>
    <w:p>
      <w:pPr/>
    </w:p>
    <w:p>
      <w:pPr>
        <w:pStyle w:val="Heading1"/>
      </w:pPr>
      <w:r>
        <w:t>Purpose and Scope</w:t>
      </w:r>
    </w:p>
    <w:p>
      <w:pPr/>
      <w:r>
        <w:rPr>
          <w:b w:val="0"/>
        </w:rPr>
        <w:t>This checklist defines the required inputs for a Ping Well‑Architected Health Check. It is intended to be completed prior to kickoff and used as the engagement’s evidence baseline. The checklist applies to PingOne services, PingOne Advanced Identity Cloud (AIC), and/or self‑hosted Ping components (for example AM/IDM/DS/IG/CTS/RCS/agents), including the environments and regions in scope.</w:t>
      </w:r>
    </w:p>
    <w:p>
      <w:pPr/>
    </w:p>
    <w:p>
      <w:pPr>
        <w:pStyle w:val="Heading1"/>
      </w:pPr>
      <w:r>
        <w:t>How to Use This Checklist</w:t>
      </w:r>
    </w:p>
    <w:p>
      <w:pPr/>
      <w:r>
        <w:rPr>
          <w:b w:val="0"/>
        </w:rPr>
        <w:t>• Provide the artifacts listed in “Required Inputs” or document a delivery plan (owner + date).</w:t>
      </w:r>
    </w:p>
    <w:p>
      <w:pPr/>
      <w:r>
        <w:rPr>
          <w:b w:val="0"/>
        </w:rPr>
        <w:t>• If an export/artifact is restricted, provide a redacted version or screenshots and clearly note what is missing and why.</w:t>
      </w:r>
    </w:p>
    <w:p>
      <w:pPr/>
      <w:r>
        <w:rPr>
          <w:b w:val="0"/>
        </w:rPr>
        <w:t>• When referencing files, include links/locations and identify the system of record (for example: “Confluence page”, “ServiceNow report”, “Git repo tag”).</w:t>
      </w:r>
    </w:p>
    <w:p>
      <w:pPr/>
      <w:r>
        <w:rPr>
          <w:b w:val="0"/>
        </w:rPr>
        <w:t>• If sensitive data is present (PII/secrets), follow your approved handling procedures and provide the minimum necessary evidence.</w:t>
      </w:r>
    </w:p>
    <w:p>
      <w:pPr/>
    </w:p>
    <w:p>
      <w:pPr>
        <w:pStyle w:val="Heading1"/>
      </w:pPr>
      <w:r>
        <w:t>Checklist Objectives</w:t>
      </w:r>
    </w:p>
    <w:p>
      <w:pPr/>
      <w:r>
        <w:t xml:space="preserve">• </w:t>
      </w:r>
      <w:r>
        <w:rPr>
          <w:b/>
        </w:rPr>
        <w:t xml:space="preserve">Confirm scope: </w:t>
      </w:r>
      <w:r>
        <w:t>Which Ping components/services and which environments (DEV/UAT/PROD) are in review, including regions and HA/DR expectations.</w:t>
      </w:r>
    </w:p>
    <w:p>
      <w:pPr/>
      <w:r>
        <w:t xml:space="preserve">• </w:t>
      </w:r>
      <w:r>
        <w:rPr>
          <w:b/>
        </w:rPr>
        <w:t xml:space="preserve">Collect static configuration: </w:t>
      </w:r>
      <w:r>
        <w:t>Exports for in‑scope components/services (including journeys/scripts/policies where applicable).</w:t>
      </w:r>
    </w:p>
    <w:p>
      <w:pPr/>
      <w:r>
        <w:t xml:space="preserve">• </w:t>
      </w:r>
      <w:r>
        <w:rPr>
          <w:b/>
        </w:rPr>
        <w:t xml:space="preserve">Collect architecture evidence: </w:t>
      </w:r>
      <w:r>
        <w:t>Logical/physical diagrams, trust boundaries, and an integration inventory for apps, directories, APIs, and external dependencies.</w:t>
      </w:r>
    </w:p>
    <w:p>
      <w:pPr/>
      <w:r>
        <w:t xml:space="preserve">• </w:t>
      </w:r>
      <w:r>
        <w:rPr>
          <w:b/>
        </w:rPr>
        <w:t xml:space="preserve">Enable best‑practice alignment: </w:t>
      </w:r>
      <w:r>
        <w:t>Assess against the Ping Well‑Architected Framework pillars using objective evidence (not opinions), with traceability to inputs.</w:t>
      </w:r>
    </w:p>
    <w:p>
      <w:pPr/>
      <w:r>
        <w:t xml:space="preserve">• </w:t>
      </w:r>
      <w:r>
        <w:rPr>
          <w:b/>
        </w:rPr>
        <w:t xml:space="preserve">Identify and close gaps early: </w:t>
      </w:r>
      <w:r>
        <w:t>Surface missing inputs, unknown ownership, and access constraints; agree on mitigations and dates so findings are not blocked.</w:t>
      </w:r>
    </w:p>
    <w:p>
      <w:pPr/>
    </w:p>
    <w:p>
      <w:pPr>
        <w:pStyle w:val="Heading1"/>
      </w:pPr>
      <w:r>
        <w:t>Required Inputs</w:t>
      </w:r>
    </w:p>
    <w:p>
      <w:pPr/>
      <w:r>
        <w:rPr>
          <w:b w:val="0"/>
        </w:rPr>
        <w:t>These inputs enable up to six pre‑scheduled working sessions (typically up to two hours each) plus evidence review and synthesis.</w:t>
      </w:r>
    </w:p>
    <w:p>
      <w:pPr/>
    </w:p>
    <w:p>
      <w:pPr>
        <w:pStyle w:val="Heading3"/>
      </w:pPr>
      <w:r>
        <w:t>1. Primary Requirements and Use Cases</w:t>
      </w:r>
    </w:p>
    <w:p>
      <w:pPr/>
      <w:r>
        <w:t xml:space="preserve">• </w:t>
      </w:r>
      <w:r>
        <w:rPr>
          <w:b/>
        </w:rPr>
        <w:t xml:space="preserve">Include: </w:t>
      </w:r>
      <w:r>
        <w:t>Top 5–10 journeys (login, registration, account recovery, step‑up), success criteria, and key non‑functional targets (availability, latency, peak volume).</w:t>
      </w:r>
    </w:p>
    <w:p>
      <w:pPr/>
      <w:r>
        <w:t xml:space="preserve">• </w:t>
      </w:r>
      <w:r>
        <w:rPr>
          <w:b/>
        </w:rPr>
        <w:t xml:space="preserve">Constraints: </w:t>
      </w:r>
      <w:r>
        <w:t>Regulatory/compliance needs, data residency requirements, security guardrails, and major dependencies.</w:t>
      </w:r>
    </w:p>
    <w:p>
      <w:pPr/>
      <w:r>
        <w:t xml:space="preserve">• </w:t>
      </w:r>
      <w:r>
        <w:rPr>
          <w:b/>
        </w:rPr>
        <w:t xml:space="preserve">Attach: </w:t>
      </w:r>
      <w:r>
        <w:t>Requirements docs, SLO/SLA targets, UX standards, and a short glossary of critical terms.</w:t>
      </w:r>
    </w:p>
    <w:p>
      <w:pPr/>
    </w:p>
    <w:p>
      <w:pPr>
        <w:pStyle w:val="Heading3"/>
      </w:pPr>
      <w:r>
        <w:t>2. Environment Inventory</w:t>
      </w:r>
    </w:p>
    <w:p>
      <w:pPr/>
      <w:r>
        <w:t xml:space="preserve">• </w:t>
      </w:r>
      <w:r>
        <w:rPr>
          <w:b/>
        </w:rPr>
        <w:t xml:space="preserve">Include: </w:t>
      </w:r>
      <w:r>
        <w:t>Environment list (DEV/TEST/UAT/STAGE/PROD), regions, and topology (single‑region, active/active, active/passive).</w:t>
      </w:r>
    </w:p>
    <w:p>
      <w:pPr/>
      <w:r>
        <w:t xml:space="preserve">• </w:t>
      </w:r>
      <w:r>
        <w:rPr>
          <w:b/>
        </w:rPr>
        <w:t xml:space="preserve">HA/DR: </w:t>
      </w:r>
      <w:r>
        <w:t>Expected failover behavior, DR approach, RTO/RPO targets, and last test date (if applicable).</w:t>
      </w:r>
    </w:p>
    <w:p>
      <w:pPr/>
      <w:r>
        <w:t xml:space="preserve">• </w:t>
      </w:r>
      <w:r>
        <w:rPr>
          <w:b/>
        </w:rPr>
        <w:t xml:space="preserve">Delivery model: </w:t>
      </w:r>
      <w:r>
        <w:t>Promotion paths, change windows/freeze periods, planned upgrades/releases, and rollback expectations.</w:t>
      </w:r>
    </w:p>
    <w:p>
      <w:pPr/>
    </w:p>
    <w:p>
      <w:pPr>
        <w:pStyle w:val="Heading3"/>
      </w:pPr>
      <w:r>
        <w:t>3. Static Configuration Exports</w:t>
      </w:r>
    </w:p>
    <w:p>
      <w:pPr/>
      <w:r>
        <w:t xml:space="preserve">• </w:t>
      </w:r>
      <w:r>
        <w:rPr>
          <w:b/>
        </w:rPr>
        <w:t xml:space="preserve">Provide: </w:t>
      </w:r>
      <w:r>
        <w:t>Exports for all in‑scope Ping services/components (see “In‑Scope Platforms” below).</w:t>
      </w:r>
    </w:p>
    <w:p>
      <w:pPr/>
      <w:r>
        <w:t xml:space="preserve">• </w:t>
      </w:r>
      <w:r>
        <w:rPr>
          <w:b/>
        </w:rPr>
        <w:t xml:space="preserve">Include: </w:t>
      </w:r>
      <w:r>
        <w:t>Journeys/trees, scripts, policies, OAuth/OIDC/SAML settings, mappings, admin delegation, and relevant security settings.</w:t>
      </w:r>
    </w:p>
    <w:p>
      <w:pPr/>
      <w:r>
        <w:t xml:space="preserve">• </w:t>
      </w:r>
      <w:r>
        <w:rPr>
          <w:b/>
        </w:rPr>
        <w:t xml:space="preserve">Constraints: </w:t>
      </w:r>
      <w:r>
        <w:t>If exports are restricted, provide screenshots or redacted snippets and document any omissions.</w:t>
      </w:r>
    </w:p>
    <w:p>
      <w:pPr/>
    </w:p>
    <w:p>
      <w:pPr>
        <w:pStyle w:val="Heading3"/>
      </w:pPr>
      <w:r>
        <w:t>4. Operational Artifacts</w:t>
      </w:r>
    </w:p>
    <w:p>
      <w:pPr/>
      <w:r>
        <w:t xml:space="preserve">• </w:t>
      </w:r>
      <w:r>
        <w:rPr>
          <w:b/>
        </w:rPr>
        <w:t xml:space="preserve">Runbooks: </w:t>
      </w:r>
      <w:r>
        <w:t>Day‑2 procedures (restart/scale, certificate rotation, key rollover, disaster recovery steps, maintenance procedures).</w:t>
      </w:r>
    </w:p>
    <w:p>
      <w:pPr/>
      <w:r>
        <w:t xml:space="preserve">• </w:t>
      </w:r>
      <w:r>
        <w:rPr>
          <w:b/>
        </w:rPr>
        <w:t xml:space="preserve">Change management: </w:t>
      </w:r>
      <w:r>
        <w:t>How configuration changes are reviewed, approved, promoted, and audited (manual vs CI/CD).</w:t>
      </w:r>
    </w:p>
    <w:p>
      <w:pPr/>
      <w:r>
        <w:t xml:space="preserve">• </w:t>
      </w:r>
      <w:r>
        <w:rPr>
          <w:b/>
        </w:rPr>
        <w:t xml:space="preserve">Observability: </w:t>
      </w:r>
      <w:r>
        <w:t>Dashboards, alert definitions, log aggregation/SIEM integration, correlation approach, and synthetic monitoring (if any).</w:t>
      </w:r>
    </w:p>
    <w:p>
      <w:pPr/>
      <w:r>
        <w:t xml:space="preserve">• </w:t>
      </w:r>
      <w:r>
        <w:rPr>
          <w:b/>
        </w:rPr>
        <w:t xml:space="preserve">Incident response: </w:t>
      </w:r>
      <w:r>
        <w:t>On‑call coverage, escalation paths, incident comms templates, and post‑incident review process.</w:t>
      </w:r>
    </w:p>
    <w:p>
      <w:pPr/>
    </w:p>
    <w:p>
      <w:pPr>
        <w:pStyle w:val="Heading3"/>
      </w:pPr>
      <w:r>
        <w:t>5. Architecture and Integration Artifacts</w:t>
      </w:r>
    </w:p>
    <w:p>
      <w:pPr/>
      <w:r>
        <w:t xml:space="preserve">• </w:t>
      </w:r>
      <w:r>
        <w:rPr>
          <w:b/>
        </w:rPr>
        <w:t xml:space="preserve">Diagrams: </w:t>
      </w:r>
      <w:r>
        <w:t>Logical and physical/topology diagrams, including trust boundaries and critical dependencies (DNS, LB, WAF/CDN, gateways).</w:t>
      </w:r>
    </w:p>
    <w:p>
      <w:pPr/>
      <w:r>
        <w:t xml:space="preserve">• </w:t>
      </w:r>
      <w:r>
        <w:rPr>
          <w:b/>
        </w:rPr>
        <w:t xml:space="preserve">Flows: </w:t>
      </w:r>
      <w:r>
        <w:t>Sequence/flow diagrams for key journeys (login, token exchange, step‑up, recovery), including error/exception paths.</w:t>
      </w:r>
    </w:p>
    <w:p>
      <w:pPr/>
      <w:r>
        <w:t xml:space="preserve">• </w:t>
      </w:r>
      <w:r>
        <w:rPr>
          <w:b/>
        </w:rPr>
        <w:t xml:space="preserve">Inventory: </w:t>
      </w:r>
      <w:r>
        <w:t>Applications and integrations (protocols, claims, token lifetimes, logout patterns) plus directories/identity sources and sync model.</w:t>
      </w:r>
    </w:p>
    <w:p>
      <w:pPr/>
      <w:r>
        <w:t xml:space="preserve">• </w:t>
      </w:r>
      <w:r>
        <w:rPr>
          <w:b/>
        </w:rPr>
        <w:t xml:space="preserve">Third‑party dependencies: </w:t>
      </w:r>
      <w:r>
        <w:t>Email/SMS, push, risk engines, KYC/IDV, analytics, and their SLAs/operational constraints.</w:t>
      </w:r>
    </w:p>
    <w:p>
      <w:pPr/>
    </w:p>
    <w:p>
      <w:pPr>
        <w:pStyle w:val="Heading3"/>
      </w:pPr>
      <w:r>
        <w:t>6. Support and Change History (Last 12–18 Months)</w:t>
      </w:r>
    </w:p>
    <w:p>
      <w:pPr/>
      <w:r>
        <w:t xml:space="preserve">• </w:t>
      </w:r>
      <w:r>
        <w:rPr>
          <w:b/>
        </w:rPr>
        <w:t xml:space="preserve">Provide: </w:t>
      </w:r>
      <w:r>
        <w:t>Ticket export or summary of recurring incidents and major changes, including severity, recurrence patterns, and root cause themes.</w:t>
      </w:r>
    </w:p>
    <w:p>
      <w:pPr/>
      <w:r>
        <w:t xml:space="preserve">• </w:t>
      </w:r>
      <w:r>
        <w:rPr>
          <w:b/>
        </w:rPr>
        <w:t xml:space="preserve">Highlight: </w:t>
      </w:r>
      <w:r>
        <w:t>Major outages, performance events, security incidents (as permitted), and any “known fragile” dependencies.</w:t>
      </w:r>
    </w:p>
    <w:p>
      <w:pPr/>
      <w:r>
        <w:t xml:space="preserve">• </w:t>
      </w:r>
      <w:r>
        <w:rPr>
          <w:b/>
        </w:rPr>
        <w:t xml:space="preserve">Include: </w:t>
      </w:r>
      <w:r>
        <w:t>Recent architecture changes, upgrades, migrations, and lessons learned from prior remediation efforts.</w:t>
      </w:r>
    </w:p>
    <w:p>
      <w:pPr/>
    </w:p>
    <w:p>
      <w:pPr>
        <w:pStyle w:val="Heading3"/>
      </w:pPr>
      <w:r>
        <w:t>7. Access and Contacts</w:t>
      </w:r>
    </w:p>
    <w:p>
      <w:pPr/>
      <w:r>
        <w:t xml:space="preserve">• </w:t>
      </w:r>
      <w:r>
        <w:rPr>
          <w:b/>
        </w:rPr>
        <w:t xml:space="preserve">Contacts: </w:t>
      </w:r>
      <w:r>
        <w:t>Decision makers and SMEs per area (IAM/SSO, directory, MFA/risk, networking, app owners, DevOps/SRE, SecOps).</w:t>
      </w:r>
    </w:p>
    <w:p>
      <w:pPr/>
      <w:r>
        <w:t xml:space="preserve">• </w:t>
      </w:r>
      <w:r>
        <w:rPr>
          <w:b/>
        </w:rPr>
        <w:t xml:space="preserve">Access: </w:t>
      </w:r>
      <w:r>
        <w:t>Read‑only admin access where feasible; identify required approvals and any restrictions.</w:t>
      </w:r>
    </w:p>
    <w:p>
      <w:pPr/>
      <w:r>
        <w:t xml:space="preserve">• </w:t>
      </w:r>
      <w:r>
        <w:rPr>
          <w:b/>
        </w:rPr>
        <w:t xml:space="preserve">Engagement constraints: </w:t>
      </w:r>
      <w:r>
        <w:t>Recording approvals, data handling rules, redaction requirements, and export limitations.</w:t>
      </w:r>
    </w:p>
    <w:p>
      <w:pPr/>
    </w:p>
    <w:p>
      <w:pPr>
        <w:pStyle w:val="Heading1"/>
      </w:pPr>
      <w:r>
        <w:t>In‑Scope Platforms / Components (Examples)</w:t>
      </w:r>
    </w:p>
    <w:p>
      <w:pPr/>
      <w:r>
        <w:t xml:space="preserve">• </w:t>
      </w:r>
      <w:r>
        <w:rPr>
          <w:b/>
        </w:rPr>
        <w:t xml:space="preserve">PingOne services: </w:t>
      </w:r>
      <w:r>
        <w:t>SSO, MFA, DaVinci, Protect, Verify, Directory, and other scoped services (with configuration exports/screenshots as available).</w:t>
      </w:r>
    </w:p>
    <w:p>
      <w:pPr/>
      <w:r>
        <w:t xml:space="preserve">• </w:t>
      </w:r>
      <w:r>
        <w:rPr>
          <w:b/>
        </w:rPr>
        <w:t xml:space="preserve">PingOne Advanced Identity Cloud (AIC) and/or self‑hosted: </w:t>
      </w:r>
      <w:r>
        <w:t>AM, IDM, DS, CTS, Identity Gateway/PingGateway, RCS, agents, and supporting dependencies.</w:t>
      </w:r>
    </w:p>
    <w:p>
      <w:pPr/>
    </w:p>
    <w:p>
      <w:pPr>
        <w:pStyle w:val="Heading1"/>
      </w:pPr>
      <w:r>
        <w:t>How This Checklist Is Used</w:t>
      </w:r>
    </w:p>
    <w:p>
      <w:pPr/>
      <w:r>
        <w:t xml:space="preserve">• </w:t>
      </w:r>
      <w:r>
        <w:rPr>
          <w:b/>
        </w:rPr>
        <w:t xml:space="preserve">Artifact validation: </w:t>
      </w:r>
      <w:r>
        <w:t>Review inputs, confirm scope, and identify gaps (owners + dates).</w:t>
      </w:r>
    </w:p>
    <w:p>
      <w:pPr/>
      <w:r>
        <w:t xml:space="preserve">• </w:t>
      </w:r>
      <w:r>
        <w:rPr>
          <w:b/>
        </w:rPr>
        <w:t xml:space="preserve">Pillar workshops: </w:t>
      </w:r>
      <w:r>
        <w:t>Map evidence to Well‑Architected pillars, validate assumptions, and capture risks and trade‑offs.</w:t>
      </w:r>
    </w:p>
    <w:p>
      <w:pPr/>
      <w:r>
        <w:t xml:space="preserve">• </w:t>
      </w:r>
      <w:r>
        <w:rPr>
          <w:b/>
        </w:rPr>
        <w:t xml:space="preserve">Synthesis: </w:t>
      </w:r>
      <w:r>
        <w:t>Consolidate findings, prioritize recommendations, and define actionable next steps with owners.</w:t>
      </w:r>
    </w:p>
    <w:p>
      <w:pPr/>
    </w:p>
    <w:p>
      <w:pPr>
        <w:pStyle w:val="Heading1"/>
      </w:pPr>
      <w:r>
        <w:t>Prerequisites</w:t>
      </w:r>
    </w:p>
    <w:p>
      <w:pPr/>
      <w:r>
        <w:rPr>
          <w:b w:val="0"/>
        </w:rPr>
        <w:t>• Ensure required inputs are available or have an agreed delivery plan prior to the first workshop.</w:t>
      </w:r>
    </w:p>
    <w:p>
      <w:pPr/>
      <w:r>
        <w:rPr>
          <w:b w:val="0"/>
        </w:rPr>
        <w:t>• Identify and document data handling constraints (PII, restricted exports, recording limits) and the approved mitigation approach.</w:t>
      </w:r>
    </w:p>
    <w:p>
      <w:pPr/>
    </w:p>
    <w:p>
      <w:pPr>
        <w:pStyle w:val="Heading1"/>
      </w:pPr>
      <w:r>
        <w:t>Deliverables</w:t>
      </w:r>
    </w:p>
    <w:p>
      <w:pPr/>
      <w:r>
        <w:rPr>
          <w:b w:val="0"/>
        </w:rPr>
        <w:t>• A validated evidence baseline used to produce pillar findings, a maturity snapshot, and prioritized recommendations.</w:t>
      </w:r>
    </w:p>
    <w:p>
      <w:pPr/>
      <w:r>
        <w:rPr>
          <w:b w:val="0"/>
        </w:rPr>
        <w:t>• A gap‑closure tracker (missing inputs, constraints, owners, and target dates) to prevent blockers during readout.</w:t>
      </w:r>
    </w:p>
    <w:p>
      <w:pPr/>
    </w:p>
    <w:p>
      <w:pPr>
        <w:pStyle w:val="Heading1"/>
      </w:pPr>
      <w:r>
        <w:t>Exclusions</w:t>
      </w:r>
    </w:p>
    <w:p>
      <w:pPr/>
      <w:r>
        <w:rPr>
          <w:b w:val="0"/>
        </w:rPr>
        <w:t>• This checklist does not produce a detailed design document; it establishes the evidence baseline for an accurate assessment.</w:t>
      </w:r>
    </w:p>
    <w:p>
      <w:pPr/>
      <w:r>
        <w:rPr>
          <w:b w:val="0"/>
        </w:rPr>
        <w:t>• No implementation or remediation is performed as part of input collection (remediation is a separate activity/engagement).</w:t>
      </w:r>
    </w:p>
    <w:p>
      <w:pPr/>
    </w:p>
    <w:sectPr w:rsidR="006E2E3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9A0F5" w14:textId="77777777" w:rsidR="006C4543" w:rsidRDefault="006C4543">
      <w:pPr>
        <w:spacing w:before="0" w:after="0"/>
      </w:pPr>
      <w:r>
        <w:separator/>
      </w:r>
    </w:p>
  </w:endnote>
  <w:endnote w:type="continuationSeparator" w:id="0">
    <w:p w14:paraId="3A1A1F2A" w14:textId="77777777" w:rsidR="006C4543" w:rsidRDefault="006C454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C2840C-A306-F446-9CF2-EFFC40826D4D}"/>
  </w:font>
  <w:font w:name="Arial">
    <w:panose1 w:val="020B0604020202020204"/>
    <w:charset w:val="00"/>
    <w:family w:val="swiss"/>
    <w:pitch w:val="variable"/>
    <w:sig w:usb0="E0002AFF" w:usb1="C0007843" w:usb2="00000009" w:usb3="00000000" w:csb0="000001FF" w:csb1="00000000"/>
    <w:embedRegular r:id="rId2" w:fontKey="{A72C7D89-321B-9547-AA9B-EC48BBB903D5}"/>
    <w:embedBold r:id="rId3" w:fontKey="{519EDA20-A17D-7746-8338-D7E88274DE8C}"/>
    <w:embedItalic r:id="rId4" w:fontKey="{023AAA5E-757E-6D4B-980D-84C5DD83480F}"/>
    <w:embedBoldItalic r:id="rId5" w:fontKey="{56C1220E-FE92-D140-8F36-F665E8ADB7FD}"/>
  </w:font>
  <w:font w:name="Georgia">
    <w:panose1 w:val="02040502050405020303"/>
    <w:charset w:val="00"/>
    <w:family w:val="roman"/>
    <w:pitch w:val="variable"/>
    <w:sig w:usb0="00000287" w:usb1="00000000" w:usb2="00000000" w:usb3="00000000" w:csb0="0000009F" w:csb1="00000000"/>
    <w:embedItalic r:id="rId6" w:fontKey="{9E2CD1E4-D012-804C-AA75-5C8A329D35E5}"/>
  </w:font>
  <w:font w:name="Calibri">
    <w:panose1 w:val="020F0502020204030204"/>
    <w:charset w:val="00"/>
    <w:family w:val="swiss"/>
    <w:pitch w:val="variable"/>
    <w:sig w:usb0="E0002AFF" w:usb1="C000247B" w:usb2="00000009" w:usb3="00000000" w:csb0="000001FF" w:csb1="00000000"/>
    <w:embedRegular r:id="rId7" w:fontKey="{3E118375-6D3F-0848-984B-BA598E401E8E}"/>
  </w:font>
  <w:font w:name="Cambria">
    <w:panose1 w:val="02040503050406030204"/>
    <w:charset w:val="00"/>
    <w:family w:val="roman"/>
    <w:pitch w:val="variable"/>
    <w:sig w:usb0="E00002FF" w:usb1="400004FF" w:usb2="00000000" w:usb3="00000000" w:csb0="0000019F" w:csb1="00000000"/>
    <w:embedRegular r:id="rId8" w:fontKey="{EDE35782-5B71-034D-943D-E4F8CE6B50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5B8A" w14:textId="77777777" w:rsidR="0079491D" w:rsidRDefault="00794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5671C" w14:textId="77777777" w:rsidR="006E2E30" w:rsidRDefault="00000000">
    <w:pPr>
      <w:pBdr>
        <w:top w:val="nil"/>
        <w:left w:val="nil"/>
        <w:bottom w:val="nil"/>
        <w:right w:val="nil"/>
        <w:between w:val="nil"/>
      </w:pBdr>
      <w:tabs>
        <w:tab w:val="center" w:pos="4320"/>
        <w:tab w:val="right" w:pos="8640"/>
      </w:tabs>
      <w:spacing w:before="0" w:after="0"/>
    </w:pPr>
    <w:r>
      <w:t>Ping Professional Services</w:t>
    </w:r>
    <w:r>
      <w:tab/>
    </w:r>
    <w:r>
      <w:fldChar w:fldCharType="begin"/>
    </w:r>
    <w:r>
      <w:instrText>PAGE</w:instrText>
    </w:r>
    <w:r>
      <w:fldChar w:fldCharType="separate"/>
    </w:r>
    <w:r w:rsidR="00147A66">
      <w:rPr>
        <w:noProof/>
      </w:rPr>
      <w:t>1</w:t>
    </w:r>
    <w:r>
      <w:fldChar w:fldCharType="end"/>
    </w:r>
    <w:r>
      <w:tab/>
      <w:t>Feb 27, 2024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E277" w14:textId="77777777" w:rsidR="0079491D" w:rsidRDefault="00794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07A68" w14:textId="77777777" w:rsidR="006C4543" w:rsidRDefault="006C4543">
      <w:pPr>
        <w:spacing w:before="0" w:after="0"/>
      </w:pPr>
      <w:r>
        <w:separator/>
      </w:r>
    </w:p>
  </w:footnote>
  <w:footnote w:type="continuationSeparator" w:id="0">
    <w:p w14:paraId="1B2C694A" w14:textId="77777777" w:rsidR="006C4543" w:rsidRDefault="006C454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D56D" w14:textId="77777777" w:rsidR="00147A66" w:rsidRDefault="00147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600" w14:textId="77777777" w:rsidR="006E2E30" w:rsidRPr="00147A66" w:rsidRDefault="00147A66" w:rsidP="00147A66">
    <w:pPr>
      <w:pStyle w:val="Title"/>
      <w:keepNext w:val="0"/>
      <w:keepLines w:val="0"/>
      <w:spacing w:before="567"/>
      <w:ind w:firstLine="720"/>
      <w:rPr>
        <w:sz w:val="36"/>
        <w:szCs w:val="36"/>
      </w:rPr>
    </w:pPr>
    <w:r w:rsidRPr="00147A66">
      <w:rPr>
        <w:noProof/>
        <w:color w:val="C00000"/>
        <w:sz w:val="52"/>
        <w:szCs w:val="52"/>
      </w:rPr>
      <w:drawing>
        <wp:anchor distT="0" distB="0" distL="114300" distR="114300" simplePos="0" relativeHeight="251658240" behindDoc="0" locked="0" layoutInCell="1" hidden="0" allowOverlap="1" wp14:anchorId="0583892E" wp14:editId="46066081">
          <wp:simplePos x="0" y="0"/>
          <wp:positionH relativeFrom="column">
            <wp:posOffset>-330200</wp:posOffset>
          </wp:positionH>
          <wp:positionV relativeFrom="paragraph">
            <wp:posOffset>314960</wp:posOffset>
          </wp:positionV>
          <wp:extent cx="720000" cy="720000"/>
          <wp:effectExtent l="0" t="0" r="0" b="0"/>
          <wp:wrapSquare wrapText="bothSides" distT="0" distB="0" distL="114300" distR="114300"/>
          <wp:docPr id="909259022" name="image2.png" descr="Macintosh HD:Users:johntrask:Desktop:Ping Logos:EXP_PIC_square_logo_RGB.png"/>
          <wp:cNvGraphicFramePr/>
          <a:graphic xmlns:a="http://schemas.openxmlformats.org/drawingml/2006/main">
            <a:graphicData uri="http://schemas.openxmlformats.org/drawingml/2006/picture">
              <pic:pic xmlns:pic="http://schemas.openxmlformats.org/drawingml/2006/picture">
                <pic:nvPicPr>
                  <pic:cNvPr id="0" name="image2.png" descr="Macintosh HD:Users:johntrask:Desktop:Ping Logos:EXP_PIC_square_logo_RGB.png"/>
                  <pic:cNvPicPr preferRelativeResize="0"/>
                </pic:nvPicPr>
                <pic:blipFill>
                  <a:blip r:embed="rId1"/>
                  <a:srcRect/>
                  <a:stretch>
                    <a:fillRect/>
                  </a:stretch>
                </pic:blipFill>
                <pic:spPr>
                  <a:xfrm>
                    <a:off x="0" y="0"/>
                    <a:ext cx="720000" cy="720000"/>
                  </a:xfrm>
                  <a:prstGeom prst="rect">
                    <a:avLst/>
                  </a:prstGeom>
                  <a:ln/>
                </pic:spPr>
              </pic:pic>
            </a:graphicData>
          </a:graphic>
        </wp:anchor>
      </w:drawing>
    </w:r>
    <w:r w:rsidRPr="00147A66">
      <w:rPr>
        <w:color w:val="C00000"/>
        <w:sz w:val="40"/>
        <w:szCs w:val="40"/>
      </w:rPr>
      <w:t>Well-Architected Health Check</w:t>
    </w:r>
    <w:r>
      <w:rPr>
        <w:sz w:val="36"/>
        <w:szCs w:val="36"/>
      </w:rPr>
      <w:br/>
      <w:t xml:space="preserve">             </w:t>
    </w:r>
    <w:r w:rsidRPr="00147A66">
      <w:rPr>
        <w:i/>
        <w:iCs/>
        <w:color w:val="808080" w:themeColor="background1" w:themeShade="80"/>
        <w:sz w:val="36"/>
        <w:szCs w:val="36"/>
      </w:rPr>
      <w:t xml:space="preserve">Required Inputs Checklist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CB96" w14:textId="77777777" w:rsidR="00147A66" w:rsidRDefault="00147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A1B09"/>
    <w:multiLevelType w:val="multilevel"/>
    <w:tmpl w:val="97CC1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A06F46"/>
    <w:multiLevelType w:val="multilevel"/>
    <w:tmpl w:val="2B26A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2060AA"/>
    <w:multiLevelType w:val="multilevel"/>
    <w:tmpl w:val="24C27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5A6F96"/>
    <w:multiLevelType w:val="multilevel"/>
    <w:tmpl w:val="44B67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710740"/>
    <w:multiLevelType w:val="multilevel"/>
    <w:tmpl w:val="BB52C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6320359">
    <w:abstractNumId w:val="2"/>
  </w:num>
  <w:num w:numId="2" w16cid:durableId="299310105">
    <w:abstractNumId w:val="1"/>
  </w:num>
  <w:num w:numId="3" w16cid:durableId="2009019529">
    <w:abstractNumId w:val="0"/>
  </w:num>
  <w:num w:numId="4" w16cid:durableId="1415709761">
    <w:abstractNumId w:val="3"/>
  </w:num>
  <w:num w:numId="5" w16cid:durableId="10913924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E30"/>
    <w:rsid w:val="00051555"/>
    <w:rsid w:val="000F05EF"/>
    <w:rsid w:val="00147A66"/>
    <w:rsid w:val="00481786"/>
    <w:rsid w:val="005D3939"/>
    <w:rsid w:val="006C1BCB"/>
    <w:rsid w:val="006C4543"/>
    <w:rsid w:val="006E2E30"/>
    <w:rsid w:val="00794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6900E"/>
  <w15:docId w15:val="{DB40A64B-30C5-234F-ABA3-7347498D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widowControl w:val="0"/>
        <w:spacing w:before="16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b/>
      <w:bCs/>
      <w:color w:val="3E779B"/>
      <w:sz w:val="36"/>
      <w:szCs w:val="36"/>
    </w:rPr>
  </w:style>
  <w:style w:type="paragraph" w:styleId="Heading2">
    <w:name w:val="heading 2"/>
    <w:basedOn w:val="Normal"/>
    <w:next w:val="Normal"/>
    <w:uiPriority w:val="9"/>
    <w:unhideWhenUsed/>
    <w:qFormat/>
    <w:pPr>
      <w:keepNext/>
      <w:keepLines/>
      <w:spacing w:before="240" w:after="240"/>
      <w:outlineLvl w:val="1"/>
    </w:pPr>
    <w:rPr>
      <w:b/>
      <w:bCs/>
      <w:sz w:val="32"/>
      <w:szCs w:val="32"/>
    </w:rPr>
  </w:style>
  <w:style w:type="paragraph" w:styleId="Heading3">
    <w:name w:val="heading 3"/>
    <w:basedOn w:val="Normal"/>
    <w:next w:val="Normal"/>
    <w:uiPriority w:val="9"/>
    <w:unhideWhenUsed/>
    <w:qFormat/>
    <w:pPr>
      <w:keepNext/>
      <w:keepLines/>
      <w:outlineLvl w:val="2"/>
    </w:pPr>
    <w:rPr>
      <w:b/>
      <w:bCs/>
      <w:i/>
      <w:iCs/>
      <w:sz w:val="28"/>
      <w:szCs w:val="28"/>
    </w:rPr>
  </w:style>
  <w:style w:type="paragraph" w:styleId="Heading4">
    <w:name w:val="heading 4"/>
    <w:basedOn w:val="Normal"/>
    <w:next w:val="Normal"/>
    <w:uiPriority w:val="9"/>
    <w:semiHidden/>
    <w:unhideWhenUsed/>
    <w:qFormat/>
    <w:pPr>
      <w:keepNext/>
      <w:keepLines/>
      <w:spacing w:before="240" w:after="40"/>
      <w:outlineLvl w:val="3"/>
    </w:pPr>
    <w:rPr>
      <w:i/>
      <w:i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0"/>
    </w:pPr>
    <w:rPr>
      <w:b/>
      <w:bCs/>
      <w:sz w:val="48"/>
      <w:szCs w:val="48"/>
    </w:rPr>
  </w:style>
  <w:style w:type="paragraph" w:styleId="Subtitle">
    <w:name w:val="Subtitle"/>
    <w:basedOn w:val="Normal"/>
    <w:next w:val="Normal"/>
    <w:uiPriority w:val="11"/>
    <w:qFormat/>
    <w:pPr>
      <w:keepNext/>
      <w:keepLines/>
      <w:spacing w:after="0"/>
    </w:pPr>
    <w:rPr>
      <w:rFonts w:ascii="Georgia" w:eastAsia="Georgia" w:hAnsi="Georgia" w:cs="Georgia"/>
      <w:i/>
      <w:iCs/>
      <w:color w:val="666666"/>
      <w:sz w:val="24"/>
      <w:szCs w:val="24"/>
    </w:rPr>
  </w:style>
  <w:style w:type="paragraph" w:styleId="Header">
    <w:name w:val="header"/>
    <w:basedOn w:val="Normal"/>
    <w:link w:val="HeaderChar"/>
    <w:uiPriority w:val="99"/>
    <w:unhideWhenUsed/>
    <w:rsid w:val="00147A66"/>
    <w:pPr>
      <w:tabs>
        <w:tab w:val="center" w:pos="4680"/>
        <w:tab w:val="right" w:pos="9360"/>
      </w:tabs>
      <w:spacing w:before="0" w:after="0"/>
    </w:pPr>
  </w:style>
  <w:style w:type="character" w:customStyle="1" w:styleId="HeaderChar">
    <w:name w:val="Header Char"/>
    <w:basedOn w:val="DefaultParagraphFont"/>
    <w:link w:val="Header"/>
    <w:uiPriority w:val="99"/>
    <w:rsid w:val="00147A66"/>
  </w:style>
  <w:style w:type="paragraph" w:styleId="Footer">
    <w:name w:val="footer"/>
    <w:basedOn w:val="Normal"/>
    <w:link w:val="FooterChar"/>
    <w:uiPriority w:val="99"/>
    <w:unhideWhenUsed/>
    <w:rsid w:val="00147A66"/>
    <w:pPr>
      <w:tabs>
        <w:tab w:val="center" w:pos="4680"/>
        <w:tab w:val="right" w:pos="9360"/>
      </w:tabs>
      <w:spacing w:before="0" w:after="0"/>
    </w:pPr>
  </w:style>
  <w:style w:type="character" w:customStyle="1" w:styleId="FooterChar">
    <w:name w:val="Footer Char"/>
    <w:basedOn w:val="DefaultParagraphFont"/>
    <w:link w:val="Footer"/>
    <w:uiPriority w:val="99"/>
    <w:rsid w:val="00147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706</Words>
  <Characters>4030</Characters>
  <Application>Microsoft Office Word</Application>
  <DocSecurity>0</DocSecurity>
  <Lines>33</Lines>
  <Paragraphs>9</Paragraphs>
  <ScaleCrop>false</ScaleCrop>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Ronald Clapman</cp:lastModifiedBy>
  <cp:revision>4</cp:revision>
  <dcterms:created xsi:type="dcterms:W3CDTF">2026-02-21T22:26:00Z</dcterms:created>
  <dcterms:modified xsi:type="dcterms:W3CDTF">2026-02-21T23:05:00Z</dcterms:modified>
</cp:coreProperties>
</file>