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>
      <w:pPr/>
    </w:p>
    <w:p>
      <w:pPr/>
      <w:r>
        <w:rPr>
          <w:b/>
          <w:sz w:val="28"/>
        </w:rPr>
        <w:t>Key Benefits</w:t>
      </w:r>
    </w:p>
    <w:p>
      <w:pPr/>
      <w:r>
        <w:t xml:space="preserve">• </w:t>
      </w:r>
      <w:r>
        <w:rPr>
          <w:b/>
        </w:rPr>
        <w:t xml:space="preserve">Compress the timeline: </w:t>
      </w:r>
      <w:r>
        <w:t>Short, focused sessions backed by upfront evidence collection move you from discovery to executive readout quickly—without sacrificing rigor.</w:t>
      </w:r>
    </w:p>
    <w:p>
      <w:pPr/>
      <w:r>
        <w:t xml:space="preserve">• </w:t>
      </w:r>
      <w:r>
        <w:rPr>
          <w:b/>
        </w:rPr>
        <w:t xml:space="preserve">Reduce gaps early: </w:t>
      </w:r>
      <w:r>
        <w:t>Start with an artifact validation session to confirm what’s received, identify gaps, and agree on mitigations before pillar deep dives.</w:t>
      </w:r>
    </w:p>
    <w:p>
      <w:pPr/>
      <w:r>
        <w:t xml:space="preserve">• </w:t>
      </w:r>
      <w:r>
        <w:rPr>
          <w:b/>
        </w:rPr>
        <w:t xml:space="preserve">Keep stakeholders engaged: </w:t>
      </w:r>
      <w:r>
        <w:t>Right‑size attendance per session so the right SMEs are present, decisions happen fast, and calendar fatigue stays low.</w:t>
      </w:r>
    </w:p>
    <w:p>
      <w:pPr/>
    </w:p>
    <w:p>
      <w:pPr>
        <w:pStyle w:val="Heading1"/>
      </w:pPr>
      <w:r>
        <w:t>Purpose and Audience</w:t>
      </w:r>
    </w:p>
    <w:p>
      <w:pPr/>
      <w:r>
        <w:rPr>
          <w:b w:val="0"/>
        </w:rPr>
        <w:t>This document provides a repeatable working‑session schedule for the Ping Well‑Architected Health Check (WAHC). It is intended for engagement leads, solution/enterprise architects, and customer stakeholders who will provide evidence, participate in workshops, and validate recommendations during readout.</w:t>
      </w:r>
    </w:p>
    <w:p>
      <w:pPr/>
    </w:p>
    <w:p>
      <w:pPr>
        <w:pStyle w:val="Heading1"/>
      </w:pPr>
      <w:r>
        <w:t>Schedule Objectives</w:t>
      </w:r>
    </w:p>
    <w:p>
      <w:pPr/>
      <w:r>
        <w:t xml:space="preserve">• </w:t>
      </w:r>
      <w:r>
        <w:rPr>
          <w:b/>
        </w:rPr>
        <w:t xml:space="preserve">Confirm primary requirements and use cases: </w:t>
      </w:r>
      <w:r>
        <w:t>Align on top journeys, success criteria, and non‑functional targets (availability, latency, peak load).</w:t>
      </w:r>
    </w:p>
    <w:p>
      <w:pPr/>
      <w:r>
        <w:t xml:space="preserve">• </w:t>
      </w:r>
      <w:r>
        <w:rPr>
          <w:b/>
        </w:rPr>
        <w:t xml:space="preserve">Review static configuration and architecture artifacts: </w:t>
      </w:r>
      <w:r>
        <w:t>Ensure scenario prompts are targeted and grounded in objective evidence (exports, diagrams, logs/tickets).</w:t>
      </w:r>
    </w:p>
    <w:p>
      <w:pPr/>
      <w:r>
        <w:t xml:space="preserve">• </w:t>
      </w:r>
      <w:r>
        <w:rPr>
          <w:b/>
        </w:rPr>
        <w:t xml:space="preserve">Validate architecture and operations across pillars: </w:t>
      </w:r>
      <w:r>
        <w:t>Capture real behavior in failure modes (timeouts, retries, dependency outages, recovery patterns).</w:t>
      </w:r>
    </w:p>
    <w:p>
      <w:pPr/>
      <w:r>
        <w:t xml:space="preserve">• </w:t>
      </w:r>
      <w:r>
        <w:rPr>
          <w:b/>
        </w:rPr>
        <w:t xml:space="preserve">Assess each pillar against best practices: </w:t>
      </w:r>
      <w:r>
        <w:t>Identify gaps with evidence pointers, impact, and recommended mitigation options.</w:t>
      </w:r>
    </w:p>
    <w:p>
      <w:pPr/>
      <w:r>
        <w:t xml:space="preserve">• </w:t>
      </w:r>
      <w:r>
        <w:rPr>
          <w:b/>
        </w:rPr>
        <w:t xml:space="preserve">Produce prioritized next steps: </w:t>
      </w:r>
      <w:r>
        <w:t>Deliver a Now/Next/Later plan with owners, sequencing, and validation guidance.</w:t>
      </w:r>
    </w:p>
    <w:p>
      <w:pPr/>
    </w:p>
    <w:p>
      <w:pPr>
        <w:pStyle w:val="Heading1"/>
      </w:pPr>
      <w:r>
        <w:t>How to Use This Schedule</w:t>
      </w:r>
    </w:p>
    <w:p>
      <w:pPr/>
      <w:r>
        <w:t xml:space="preserve">• </w:t>
      </w:r>
      <w:r>
        <w:rPr>
          <w:b/>
        </w:rPr>
        <w:t xml:space="preserve">Start with evidence: </w:t>
      </w:r>
      <w:r>
        <w:t>Collect required inputs (configuration exports, diagrams, inventory, and support history) before the first pillar session.</w:t>
      </w:r>
    </w:p>
    <w:p>
      <w:pPr/>
      <w:r>
        <w:t xml:space="preserve">• </w:t>
      </w:r>
      <w:r>
        <w:rPr>
          <w:b/>
        </w:rPr>
        <w:t xml:space="preserve">Keep sessions scenario‑based: </w:t>
      </w:r>
      <w:r>
        <w:t>Use real journeys and realistic failure modes to validate whether the architecture meets requirements.</w:t>
      </w:r>
    </w:p>
    <w:p>
      <w:pPr/>
      <w:r>
        <w:t xml:space="preserve">• </w:t>
      </w:r>
      <w:r>
        <w:rPr>
          <w:b/>
        </w:rPr>
        <w:t xml:space="preserve">Capture traceability: </w:t>
      </w:r>
      <w:r>
        <w:t>For each finding, record the supporting evidence (export name, screenshot, ticket reference, notes/transcript timestamp).</w:t>
      </w:r>
    </w:p>
    <w:p>
      <w:pPr/>
      <w:r>
        <w:t xml:space="preserve">• </w:t>
      </w:r>
      <w:r>
        <w:rPr>
          <w:b/>
        </w:rPr>
        <w:t xml:space="preserve">Adapt as needed: </w:t>
      </w:r>
      <w:r>
        <w:t>Duration and sequencing can be adjusted based on scope (PingOne-only vs AIC/self‑hosted; single region vs multi-region; complexity).</w:t>
      </w:r>
    </w:p>
    <w:p>
      <w:pPr/>
    </w:p>
    <w:p>
      <w:pPr>
        <w:pStyle w:val="Heading1"/>
      </w:pPr>
      <w:r>
        <w:t>Condensed Sample Schedule</w:t>
      </w:r>
    </w:p>
    <w:p>
      <w:pPr/>
      <w:r>
        <w:rPr>
          <w:b w:val="0"/>
        </w:rPr>
        <w:t>Use this as a sample agenda. Sessions are typically 60 minutes unless noted. The Experience &amp; Governance session is often 90 minutes due to cross‑functional attendance and UX + operating model review.</w:t>
      </w:r>
    </w:p>
    <w:p>
      <w:pPr/>
    </w:p>
    <w:p>
      <w:pPr>
        <w:pStyle w:val="Heading3"/>
      </w:pPr>
      <w:r>
        <w:t>Session 0 (60m): Intake Confirmation</w:t>
      </w:r>
    </w:p>
    <w:p>
      <w:pPr/>
      <w:r>
        <w:t xml:space="preserve">• </w:t>
      </w:r>
      <w:r>
        <w:rPr>
          <w:b/>
        </w:rPr>
        <w:t xml:space="preserve">Goal: </w:t>
      </w:r>
      <w:r>
        <w:t>Confirm business drivers, top use cases/journeys, success criteria, and non‑functional targets.</w:t>
      </w:r>
    </w:p>
    <w:p>
      <w:pPr/>
      <w:r>
        <w:t xml:space="preserve">• </w:t>
      </w:r>
      <w:r>
        <w:rPr>
          <w:b/>
        </w:rPr>
        <w:t xml:space="preserve">Attendees: </w:t>
      </w:r>
      <w:r>
        <w:t>Business sponsor/owner, IAM lead, solution architect; optional app owner representatives.</w:t>
      </w:r>
    </w:p>
    <w:p>
      <w:pPr/>
      <w:r>
        <w:t xml:space="preserve">• </w:t>
      </w:r>
      <w:r>
        <w:rPr>
          <w:b/>
        </w:rPr>
        <w:t xml:space="preserve">Outputs: </w:t>
      </w:r>
      <w:r>
        <w:t>Confirmed scope assumptions; finalized session plan and SME attendance list.</w:t>
      </w:r>
    </w:p>
    <w:p>
      <w:pPr/>
    </w:p>
    <w:p>
      <w:pPr>
        <w:pStyle w:val="Heading3"/>
      </w:pPr>
      <w:r>
        <w:t>Session 1 (60m): Evidence &amp; Inputs Review</w:t>
      </w:r>
    </w:p>
    <w:p>
      <w:pPr/>
      <w:r>
        <w:t xml:space="preserve">• </w:t>
      </w:r>
      <w:r>
        <w:rPr>
          <w:b/>
        </w:rPr>
        <w:t xml:space="preserve">Goal: </w:t>
      </w:r>
      <w:r>
        <w:t>Review received inputs; identify gaps; agree on mitigations, owners, and dates.</w:t>
      </w:r>
    </w:p>
    <w:p>
      <w:pPr/>
      <w:r>
        <w:t xml:space="preserve">• </w:t>
      </w:r>
      <w:r>
        <w:rPr>
          <w:b/>
        </w:rPr>
        <w:t xml:space="preserve">Evidence: </w:t>
      </w:r>
      <w:r>
        <w:t>Static configuration exports, diagrams/flows, environment inventory, and support/change history.</w:t>
      </w:r>
    </w:p>
    <w:p>
      <w:pPr/>
      <w:r>
        <w:t xml:space="preserve">• </w:t>
      </w:r>
      <w:r>
        <w:rPr>
          <w:b/>
        </w:rPr>
        <w:t xml:space="preserve">Outputs: </w:t>
      </w:r>
      <w:r>
        <w:t>Validated evidence baseline; confirmed workshop plan (including recording/transcripts approach if used).</w:t>
      </w:r>
    </w:p>
    <w:p>
      <w:pPr/>
    </w:p>
    <w:p>
      <w:pPr>
        <w:pStyle w:val="Heading3"/>
      </w:pPr>
      <w:r>
        <w:t>Session 2 (60m): Availability &amp; Reliability</w:t>
      </w:r>
    </w:p>
    <w:p>
      <w:pPr/>
      <w:r>
        <w:t xml:space="preserve">• </w:t>
      </w:r>
      <w:r>
        <w:rPr>
          <w:b/>
        </w:rPr>
        <w:t xml:space="preserve">Goal: </w:t>
      </w:r>
      <w:r>
        <w:t>Review resilience posture (HA/DR assumptions, dependency handling, SLOs, failure modes, recovery patterns).</w:t>
      </w:r>
    </w:p>
    <w:p>
      <w:pPr/>
      <w:r>
        <w:t xml:space="preserve">• </w:t>
      </w:r>
      <w:r>
        <w:rPr>
          <w:b/>
        </w:rPr>
        <w:t xml:space="preserve">Scenario prompts: </w:t>
      </w:r>
      <w:r>
        <w:t>Dependency outage, partial region failure, token store/directory degradation, retry storms, failover and rollback behavior.</w:t>
      </w:r>
    </w:p>
    <w:p>
      <w:pPr/>
      <w:r>
        <w:t xml:space="preserve">• </w:t>
      </w:r>
      <w:r>
        <w:rPr>
          <w:b/>
        </w:rPr>
        <w:t xml:space="preserve">SMEs: </w:t>
      </w:r>
      <w:r>
        <w:t>Platform/IAM, Ops/SRE, networking (as needed).</w:t>
      </w:r>
    </w:p>
    <w:p>
      <w:pPr/>
    </w:p>
    <w:p>
      <w:pPr>
        <w:pStyle w:val="Heading3"/>
      </w:pPr>
      <w:r>
        <w:t>Session 3 (60m): Security</w:t>
      </w:r>
    </w:p>
    <w:p>
      <w:pPr/>
      <w:r>
        <w:t xml:space="preserve">• </w:t>
      </w:r>
      <w:r>
        <w:rPr>
          <w:b/>
        </w:rPr>
        <w:t xml:space="preserve">Goal: </w:t>
      </w:r>
      <w:r>
        <w:t>Review authN/authZ posture, secrets/keys, hardening/patching, and security governance controls.</w:t>
      </w:r>
    </w:p>
    <w:p>
      <w:pPr/>
      <w:r>
        <w:t xml:space="preserve">• </w:t>
      </w:r>
      <w:r>
        <w:rPr>
          <w:b/>
        </w:rPr>
        <w:t xml:space="preserve">Scenario prompts: </w:t>
      </w:r>
      <w:r>
        <w:t>Key/certificate rotation, secret leakage response, suspicious login patterns, policy change rollback, admin delegation failures.</w:t>
      </w:r>
    </w:p>
    <w:p>
      <w:pPr/>
      <w:r>
        <w:t xml:space="preserve">• </w:t>
      </w:r>
      <w:r>
        <w:rPr>
          <w:b/>
        </w:rPr>
        <w:t xml:space="preserve">SMEs: </w:t>
      </w:r>
      <w:r>
        <w:t>Security, IAM, Ops; compliance/audit (if applicable).</w:t>
      </w:r>
    </w:p>
    <w:p>
      <w:pPr/>
    </w:p>
    <w:p>
      <w:pPr>
        <w:pStyle w:val="Heading3"/>
      </w:pPr>
      <w:r>
        <w:t>Session 4 (60m): Performance Optimization</w:t>
      </w:r>
    </w:p>
    <w:p>
      <w:pPr/>
      <w:r>
        <w:t xml:space="preserve">• </w:t>
      </w:r>
      <w:r>
        <w:rPr>
          <w:b/>
        </w:rPr>
        <w:t xml:space="preserve">Goal: </w:t>
      </w:r>
      <w:r>
        <w:t>Validate performance targets and testing approach; identify bottlenecks and tuning strategy.</w:t>
      </w:r>
    </w:p>
    <w:p>
      <w:pPr/>
      <w:r>
        <w:t xml:space="preserve">• </w:t>
      </w:r>
      <w:r>
        <w:rPr>
          <w:b/>
        </w:rPr>
        <w:t xml:space="preserve">Scenario prompts: </w:t>
      </w:r>
      <w:r>
        <w:t>Peak event burst, tail‑latency spike, sync/job contention, rate limiting and backoff, cache misses.</w:t>
      </w:r>
    </w:p>
    <w:p>
      <w:pPr/>
      <w:r>
        <w:t xml:space="preserve">• </w:t>
      </w:r>
      <w:r>
        <w:rPr>
          <w:b/>
        </w:rPr>
        <w:t xml:space="preserve">SMEs: </w:t>
      </w:r>
      <w:r>
        <w:t>Performance/test lead, IAM, Ops; app owners (as needed).</w:t>
      </w:r>
    </w:p>
    <w:p>
      <w:pPr/>
    </w:p>
    <w:p>
      <w:pPr>
        <w:pStyle w:val="Heading3"/>
      </w:pPr>
      <w:r>
        <w:t>Session 5 (60m): Deployment &amp; Automation</w:t>
      </w:r>
    </w:p>
    <w:p>
      <w:pPr/>
      <w:r>
        <w:t xml:space="preserve">• </w:t>
      </w:r>
      <w:r>
        <w:rPr>
          <w:b/>
        </w:rPr>
        <w:t xml:space="preserve">Goal: </w:t>
      </w:r>
      <w:r>
        <w:t>Review CI/CD and configuration promotion, drift controls, rollback strategy, and validation gates.</w:t>
      </w:r>
    </w:p>
    <w:p>
      <w:pPr/>
      <w:r>
        <w:t xml:space="preserve">• </w:t>
      </w:r>
      <w:r>
        <w:rPr>
          <w:b/>
        </w:rPr>
        <w:t xml:space="preserve">Scenario prompts: </w:t>
      </w:r>
      <w:r>
        <w:t>Bad config promotion, canary rollout, environment drift detection, emergency rollback, change freeze handling.</w:t>
      </w:r>
    </w:p>
    <w:p>
      <w:pPr/>
      <w:r>
        <w:t xml:space="preserve">• </w:t>
      </w:r>
      <w:r>
        <w:rPr>
          <w:b/>
        </w:rPr>
        <w:t xml:space="preserve">SMEs: </w:t>
      </w:r>
      <w:r>
        <w:t>DevOps/Platform engineering, IAM, Ops/SRE.</w:t>
      </w:r>
    </w:p>
    <w:p>
      <w:pPr/>
    </w:p>
    <w:p>
      <w:pPr>
        <w:pStyle w:val="Heading3"/>
      </w:pPr>
      <w:r>
        <w:t>Session 6 (90m): Experiences &amp; Governance</w:t>
      </w:r>
    </w:p>
    <w:p>
      <w:pPr/>
      <w:r>
        <w:t xml:space="preserve">• </w:t>
      </w:r>
      <w:r>
        <w:rPr>
          <w:b/>
        </w:rPr>
        <w:t xml:space="preserve">Goal: </w:t>
      </w:r>
      <w:r>
        <w:t>Review user/admin experience and governance (failure UX, operational UX, ownership/RACI, auditability).</w:t>
      </w:r>
    </w:p>
    <w:p>
      <w:pPr/>
      <w:r>
        <w:t xml:space="preserve">• </w:t>
      </w:r>
      <w:r>
        <w:rPr>
          <w:b/>
        </w:rPr>
        <w:t xml:space="preserve">Scenario prompts: </w:t>
      </w:r>
      <w:r>
        <w:t>Login loop, MFA enrollment failure, recovery journey issues, lockout handling, admin task failures and escalation.</w:t>
      </w:r>
    </w:p>
    <w:p>
      <w:pPr/>
      <w:r>
        <w:t xml:space="preserve">• </w:t>
      </w:r>
      <w:r>
        <w:rPr>
          <w:b/>
        </w:rPr>
        <w:t xml:space="preserve">SMEs: </w:t>
      </w:r>
      <w:r>
        <w:t>IAM, support/operations, UX/app owners, governance stakeholders.</w:t>
      </w:r>
    </w:p>
    <w:p>
      <w:pPr/>
    </w:p>
    <w:p>
      <w:pPr>
        <w:pStyle w:val="Heading1"/>
      </w:pPr>
      <w:r>
        <w:t>Readout and Wrap‑Up</w:t>
      </w:r>
    </w:p>
    <w:p>
      <w:pPr/>
      <w:r>
        <w:t xml:space="preserve">• </w:t>
      </w:r>
      <w:r>
        <w:rPr>
          <w:b/>
        </w:rPr>
        <w:t xml:space="preserve">Synthesis: </w:t>
      </w:r>
      <w:r>
        <w:t>Reserve time after workshops to draft findings, identify cross‑pillar themes, and assemble prioritized recommendations.</w:t>
      </w:r>
    </w:p>
    <w:p>
      <w:pPr/>
      <w:r>
        <w:t xml:space="preserve">• </w:t>
      </w:r>
      <w:r>
        <w:rPr>
          <w:b/>
        </w:rPr>
        <w:t xml:space="preserve">Validation: </w:t>
      </w:r>
      <w:r>
        <w:t>Conduct a stakeholder review of the draft findings to verify accuracy and confirm assumptions.</w:t>
      </w:r>
    </w:p>
    <w:p>
      <w:pPr/>
      <w:r>
        <w:t xml:space="preserve">• </w:t>
      </w:r>
      <w:r>
        <w:rPr>
          <w:b/>
        </w:rPr>
        <w:t xml:space="preserve">Executive readout: </w:t>
      </w:r>
      <w:r>
        <w:t>Present the final report and Now/Next/Later plan; confirm ownership, sequencing, and success criteria for follow‑on work.</w:t>
      </w:r>
    </w:p>
    <w:p>
      <w:pPr/>
    </w:p>
    <w:p>
      <w:pPr>
        <w:pStyle w:val="Heading1"/>
      </w:pPr>
      <w:r>
        <w:t>Prerequisites</w:t>
      </w:r>
    </w:p>
    <w:p>
      <w:pPr/>
      <w:r>
        <w:t xml:space="preserve">• </w:t>
      </w:r>
      <w:r>
        <w:rPr>
          <w:b/>
        </w:rPr>
        <w:t xml:space="preserve">Readiness: </w:t>
      </w:r>
      <w:r>
        <w:t>Inputs collected and validated; SMEs identified; access constraints documented; and evidence capture approach agreed.</w:t>
      </w:r>
    </w:p>
    <w:p>
      <w:pPr/>
      <w:r>
        <w:t xml:space="preserve">• </w:t>
      </w:r>
      <w:r>
        <w:rPr>
          <w:b/>
        </w:rPr>
        <w:t xml:space="preserve">Recording/transcripts: </w:t>
      </w:r>
      <w:r>
        <w:t>If not permitted, plan for a shared notes template and explicit evidence tagging (screenshots, exports, timestamps).</w:t>
      </w:r>
    </w:p>
    <w:p>
      <w:pPr/>
      <w:r>
        <w:t xml:space="preserve">• </w:t>
      </w:r>
      <w:r>
        <w:rPr>
          <w:b/>
        </w:rPr>
        <w:t xml:space="preserve">Attendance: </w:t>
      </w:r>
      <w:r>
        <w:t>Confirm SME attendance per session (security, ops/devops, IAM, app owners) before scheduling to avoid rework.</w:t>
      </w:r>
    </w:p>
    <w:p>
      <w:pPr/>
    </w:p>
    <w:p>
      <w:pPr>
        <w:pStyle w:val="Heading1"/>
      </w:pPr>
      <w:r>
        <w:t>Applies To</w:t>
      </w:r>
    </w:p>
    <w:p>
      <w:pPr/>
      <w:r>
        <w:t xml:space="preserve">• </w:t>
      </w:r>
      <w:r>
        <w:rPr>
          <w:b/>
        </w:rPr>
        <w:t xml:space="preserve">PingOne services: </w:t>
      </w:r>
      <w:r>
        <w:t>SSO, MFA, DaVinci, Protect/Verify (and other scoped PingOne services).</w:t>
      </w:r>
    </w:p>
    <w:p>
      <w:pPr/>
      <w:r>
        <w:rPr>
          <w:b w:val="0"/>
        </w:rPr>
        <w:t>• PingOne Advanced Identity Cloud (AIC) and/or self‑hosted Ping stacks: AM/IDM/DS/IG/CTS/RCS/agents and supporting dependencies.</w:t>
      </w:r>
    </w:p>
    <w:p>
      <w:pPr/>
    </w:p>
    <w:p>
      <w:pPr>
        <w:pStyle w:val="Heading1"/>
      </w:pPr>
      <w:r>
        <w:t>Deliverables</w:t>
      </w:r>
    </w:p>
    <w:p>
      <w:pPr/>
      <w:r>
        <w:rPr>
          <w:b w:val="0"/>
        </w:rPr>
        <w:t>• A completed executive readout with evidence‑backed findings and a prioritized Now/Next/Later plan.</w:t>
      </w:r>
    </w:p>
    <w:p>
      <w:pPr/>
      <w:r>
        <w:rPr>
          <w:b w:val="0"/>
        </w:rPr>
        <w:t>• A traceability view (Evidence Matrix Lite or equivalent) mapping evidence → pillar → finding → recommendation (if included in scope).</w:t>
      </w:r>
    </w:p>
    <w:p>
      <w:pPr/>
    </w:p>
    <w:p>
      <w:pPr>
        <w:pStyle w:val="Heading1"/>
      </w:pPr>
      <w:r>
        <w:t>Exclusions</w:t>
      </w:r>
    </w:p>
    <w:p>
      <w:pPr/>
      <w:r>
        <w:rPr>
          <w:b w:val="0"/>
        </w:rPr>
        <w:t>• This schedule does not define detailed design or build tasks.</w:t>
      </w:r>
    </w:p>
    <w:p>
      <w:pPr/>
      <w:r>
        <w:rPr>
          <w:b w:val="0"/>
        </w:rPr>
        <w:t>• No remediation is included in the base health check schedule; remediation can be delivered as a follow‑on engagement.</w:t>
      </w:r>
    </w:p>
    <w:p>
      <w:pPr/>
    </w:p>
    <w:p>
      <w:pPr>
        <w:pStyle w:val="Heading1"/>
      </w:pPr>
      <w:r>
        <w:t>Facilitation Tips</w:t>
      </w:r>
    </w:p>
    <w:p>
      <w:pPr/>
      <w:r>
        <w:t xml:space="preserve">• </w:t>
      </w:r>
      <w:r>
        <w:rPr>
          <w:b/>
        </w:rPr>
        <w:t xml:space="preserve">Start from the top journeys: </w:t>
      </w:r>
      <w:r>
        <w:t>Anchor each pillar discussion in the same 5–10 critical journeys so cross‑pillar trade‑offs are explicit.</w:t>
      </w:r>
    </w:p>
    <w:p>
      <w:pPr/>
      <w:r>
        <w:t xml:space="preserve">• </w:t>
      </w:r>
      <w:r>
        <w:rPr>
          <w:b/>
        </w:rPr>
        <w:t xml:space="preserve">Make trade‑offs visible: </w:t>
      </w:r>
      <w:r>
        <w:t>Record decision criteria (UX vs security, cost vs resilience) and explicitly capture what was chosen and why.</w:t>
      </w:r>
    </w:p>
    <w:p>
      <w:pPr/>
      <w:r>
        <w:t xml:space="preserve">• </w:t>
      </w:r>
      <w:r>
        <w:rPr>
          <w:b/>
        </w:rPr>
        <w:t xml:space="preserve">Close each session cleanly: </w:t>
      </w:r>
      <w:r>
        <w:t>Summarize decisions, open questions, and evidence gaps; confirm owners and due dates.</w:t>
      </w:r>
    </w:p>
    <w:p>
      <w:pPr/>
      <w:r>
        <w:t xml:space="preserve">• </w:t>
      </w:r>
      <w:r>
        <w:rPr>
          <w:b/>
        </w:rPr>
        <w:t xml:space="preserve">Use a parking lot: </w:t>
      </w:r>
      <w:r>
        <w:t>Capture out‑of‑scope items and decide whether they become follow‑on work or separate initiatives.</w:t>
      </w:r>
    </w:p>
    <w:p>
      <w:pPr/>
    </w:p>
    <w:sectPr w:rsidR="00A07C0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A63E2" w14:textId="77777777" w:rsidR="008E7308" w:rsidRDefault="008E7308">
      <w:pPr>
        <w:spacing w:before="0" w:after="0"/>
      </w:pPr>
      <w:r>
        <w:separator/>
      </w:r>
    </w:p>
  </w:endnote>
  <w:endnote w:type="continuationSeparator" w:id="0">
    <w:p w14:paraId="1F1CE630" w14:textId="77777777" w:rsidR="008E7308" w:rsidRDefault="008E73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9D8A28-EB56-6744-8D0F-D3DB819BAE1B}"/>
    <w:embedBold r:id="rId2" w:fontKey="{84C95E15-247D-6C47-9FB5-A183E73B816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9A75488-E597-D040-B1E9-8ED389FF37A0}"/>
    <w:embedBold r:id="rId4" w:fontKey="{E82C26DE-A10B-1548-A553-376E6FF3FC75}"/>
    <w:embedItalic r:id="rId5" w:fontKey="{F968CD1B-4DB6-6E42-8F4B-FF4B651E5848}"/>
    <w:embedBoldItalic r:id="rId6" w:fontKey="{96513907-4481-3544-AEFE-A1B11FD55F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C467169-4BAA-6B40-83DC-83A73A4663B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0504C37-14B2-3D47-906B-C5753BA7E2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6B4923B-27F7-9A4F-B0AE-7D9B88FEAD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20AE6" w14:textId="77777777" w:rsidR="00A07C0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0" w:after="0"/>
    </w:pPr>
    <w:r>
      <w:t>Ping Professional Services</w:t>
    </w:r>
    <w:r>
      <w:tab/>
    </w:r>
    <w:r>
      <w:fldChar w:fldCharType="begin"/>
    </w:r>
    <w:r>
      <w:instrText>PAGE</w:instrText>
    </w:r>
    <w:r>
      <w:fldChar w:fldCharType="separate"/>
    </w:r>
    <w:r w:rsidR="00026C4F">
      <w:rPr>
        <w:noProof/>
      </w:rPr>
      <w:t>1</w:t>
    </w:r>
    <w:r>
      <w:fldChar w:fldCharType="end"/>
    </w:r>
    <w:r>
      <w:tab/>
      <w:t>Feb 27, 2024 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FC937" w14:textId="77777777" w:rsidR="008E7308" w:rsidRDefault="008E7308">
      <w:pPr>
        <w:spacing w:before="0" w:after="0"/>
      </w:pPr>
      <w:r>
        <w:separator/>
      </w:r>
    </w:p>
  </w:footnote>
  <w:footnote w:type="continuationSeparator" w:id="0">
    <w:p w14:paraId="3DF8C7EC" w14:textId="77777777" w:rsidR="008E7308" w:rsidRDefault="008E73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9C355" w14:textId="77777777" w:rsidR="00026C4F" w:rsidRDefault="00026C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A274F" w14:textId="03C7C309" w:rsidR="00026C4F" w:rsidRPr="00147A66" w:rsidRDefault="00026C4F" w:rsidP="00026C4F">
    <w:pPr>
      <w:pStyle w:val="Title"/>
      <w:keepNext w:val="0"/>
      <w:keepLines w:val="0"/>
      <w:spacing w:before="567"/>
      <w:ind w:firstLine="720"/>
      <w:rPr>
        <w:sz w:val="36"/>
        <w:szCs w:val="36"/>
      </w:rPr>
    </w:pPr>
    <w:r w:rsidRPr="00147A66">
      <w:rPr>
        <w:noProof/>
        <w:color w:val="C00000"/>
        <w:sz w:val="52"/>
        <w:szCs w:val="52"/>
      </w:rPr>
      <w:drawing>
        <wp:anchor distT="0" distB="0" distL="114300" distR="114300" simplePos="0" relativeHeight="251659264" behindDoc="0" locked="0" layoutInCell="1" hidden="0" allowOverlap="1" wp14:anchorId="57F2E833" wp14:editId="6A5B1CC2">
          <wp:simplePos x="0" y="0"/>
          <wp:positionH relativeFrom="column">
            <wp:posOffset>-330200</wp:posOffset>
          </wp:positionH>
          <wp:positionV relativeFrom="paragraph">
            <wp:posOffset>314960</wp:posOffset>
          </wp:positionV>
          <wp:extent cx="720000" cy="720000"/>
          <wp:effectExtent l="0" t="0" r="0" b="0"/>
          <wp:wrapSquare wrapText="bothSides" distT="0" distB="0" distL="114300" distR="114300"/>
          <wp:docPr id="2" name="image2.png" descr="Macintosh HD:Users:johntrask:Desktop:Ping Logos:EXP_PIC_square_logo_RG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johntrask:Desktop:Ping Logos:EXP_PIC_square_logo_RGB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47A66">
      <w:rPr>
        <w:color w:val="C00000"/>
        <w:sz w:val="40"/>
        <w:szCs w:val="40"/>
      </w:rPr>
      <w:t>Well-Architected Health Check</w:t>
    </w:r>
    <w:r>
      <w:rPr>
        <w:sz w:val="36"/>
        <w:szCs w:val="36"/>
      </w:rPr>
      <w:br/>
      <w:t xml:space="preserve">             </w:t>
    </w:r>
    <w:r w:rsidR="00FE0FF4">
      <w:rPr>
        <w:i/>
        <w:iCs/>
        <w:color w:val="808080" w:themeColor="background1" w:themeShade="80"/>
        <w:sz w:val="36"/>
        <w:szCs w:val="36"/>
      </w:rPr>
      <w:t>Working Session Schedule</w:t>
    </w:r>
    <w:r w:rsidRPr="00147A66">
      <w:rPr>
        <w:i/>
        <w:iCs/>
        <w:color w:val="808080" w:themeColor="background1" w:themeShade="80"/>
        <w:sz w:val="36"/>
        <w:szCs w:val="36"/>
      </w:rPr>
      <w:t xml:space="preserve">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1DE14" w14:textId="77777777" w:rsidR="00026C4F" w:rsidRDefault="00026C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871BB7"/>
    <w:multiLevelType w:val="multilevel"/>
    <w:tmpl w:val="EAF41B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492B0A"/>
    <w:multiLevelType w:val="multilevel"/>
    <w:tmpl w:val="D9DA1F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E11D7B"/>
    <w:multiLevelType w:val="multilevel"/>
    <w:tmpl w:val="6A6292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BF600C1"/>
    <w:multiLevelType w:val="multilevel"/>
    <w:tmpl w:val="4EE294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77D3795"/>
    <w:multiLevelType w:val="multilevel"/>
    <w:tmpl w:val="0F9E76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69083689">
    <w:abstractNumId w:val="4"/>
  </w:num>
  <w:num w:numId="2" w16cid:durableId="1079211450">
    <w:abstractNumId w:val="1"/>
  </w:num>
  <w:num w:numId="3" w16cid:durableId="1933778879">
    <w:abstractNumId w:val="2"/>
  </w:num>
  <w:num w:numId="4" w16cid:durableId="332077543">
    <w:abstractNumId w:val="3"/>
  </w:num>
  <w:num w:numId="5" w16cid:durableId="1214922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C03"/>
    <w:rsid w:val="00026C4F"/>
    <w:rsid w:val="00481786"/>
    <w:rsid w:val="00486D9A"/>
    <w:rsid w:val="008E7308"/>
    <w:rsid w:val="00A07C03"/>
    <w:rsid w:val="00C74533"/>
    <w:rsid w:val="00FE0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98632F"/>
  <w15:docId w15:val="{DB40A64B-30C5-234F-ABA3-7347498DF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" w:eastAsia="en-US" w:bidi="ar-SA"/>
      </w:rPr>
    </w:rPrDefault>
    <w:pPrDefault>
      <w:pPr>
        <w:widowControl w:val="0"/>
        <w:spacing w:before="160"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40"/>
      <w:outlineLvl w:val="0"/>
    </w:pPr>
    <w:rPr>
      <w:b/>
      <w:bCs/>
      <w:color w:val="3E779B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40" w:after="24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i/>
      <w:i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0"/>
    </w:pPr>
    <w:rPr>
      <w:b/>
      <w:bCs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0"/>
    </w:pPr>
    <w:rPr>
      <w:rFonts w:ascii="Georgia" w:eastAsia="Georgia" w:hAnsi="Georgia" w:cs="Georgia"/>
      <w:i/>
      <w:iCs/>
      <w:color w:val="666666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26C4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26C4F"/>
  </w:style>
  <w:style w:type="paragraph" w:styleId="Footer">
    <w:name w:val="footer"/>
    <w:basedOn w:val="Normal"/>
    <w:link w:val="FooterChar"/>
    <w:uiPriority w:val="99"/>
    <w:unhideWhenUsed/>
    <w:rsid w:val="00026C4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26C4F"/>
  </w:style>
  <w:style w:type="character" w:customStyle="1" w:styleId="TitleChar">
    <w:name w:val="Title Char"/>
    <w:basedOn w:val="DefaultParagraphFont"/>
    <w:link w:val="Title"/>
    <w:uiPriority w:val="10"/>
    <w:rsid w:val="00026C4F"/>
    <w:rPr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'1.0' encoding='UTF-8' standalone='yes'?>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320</Words>
  <Characters>1826</Characters>
  <Application>Microsoft Office Word</Application>
  <DocSecurity>0</DocSecurity>
  <Lines>15</Lines>
  <Paragraphs>4</Paragraphs>
  <ScaleCrop>false</ScaleCrop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Ronald Clapman</cp:lastModifiedBy>
  <cp:revision>4</cp:revision>
  <dcterms:created xsi:type="dcterms:W3CDTF">2026-02-21T22:35:00Z</dcterms:created>
  <dcterms:modified xsi:type="dcterms:W3CDTF">2026-02-21T22:45:00Z</dcterms:modified>
</cp:coreProperties>
</file>