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0805AD" w:rsidRDefault="00000000">
      <w:pPr>
        <w:spacing w:line="276" w:lineRule="auto"/>
        <w:rPr>
          <w:rFonts w:ascii="Times" w:eastAsia="Times" w:hAnsi="Times" w:cs="Times"/>
          <w:sz w:val="20"/>
          <w:szCs w:val="20"/>
        </w:rPr>
      </w:pPr>
      <w:r>
        <w:rPr>
          <w:rFonts w:ascii="Times" w:eastAsia="Times" w:hAnsi="Times" w:cs="Times"/>
          <w:sz w:val="20"/>
          <w:szCs w:val="20"/>
        </w:rPr>
        <w:t xml:space="preserve"> </w:t>
      </w:r>
    </w:p>
    <w:tbl>
      <w:tblPr>
        <w:tblStyle w:val="afb"/>
        <w:tblW w:w="104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40"/>
        <w:gridCol w:w="2700"/>
      </w:tblGrid>
      <w:tr w:rsidR="000805AD" w14:paraId="64D4E0BA" w14:textId="77777777">
        <w:trPr>
          <w:trHeight w:val="1785"/>
        </w:trPr>
        <w:tc>
          <w:tcPr>
            <w:tcW w:w="7740" w:type="dxa"/>
            <w:tcMar>
              <w:top w:w="100" w:type="dxa"/>
              <w:left w:w="100" w:type="dxa"/>
              <w:bottom w:w="100" w:type="dxa"/>
              <w:right w:w="100" w:type="dxa"/>
            </w:tcMar>
          </w:tcPr>
          <w:p w14:paraId="00000002" w14:textId="77777777" w:rsidR="000805AD" w:rsidRDefault="00000000">
            <w:pPr>
              <w:spacing w:line="276" w:lineRule="auto"/>
              <w:rPr>
                <w:rFonts w:ascii="Times" w:eastAsia="Times" w:hAnsi="Times" w:cs="Times"/>
                <w:sz w:val="20"/>
                <w:szCs w:val="20"/>
              </w:rPr>
            </w:pPr>
            <w:bookmarkStart w:id="0" w:name="_heading=h.gjdgxs" w:colFirst="0" w:colLast="0"/>
            <w:bookmarkEnd w:id="0"/>
            <w:r>
              <w:rPr>
                <w:rFonts w:ascii="Times" w:eastAsia="Times" w:hAnsi="Times" w:cs="Times"/>
                <w:noProof/>
                <w:sz w:val="20"/>
                <w:szCs w:val="20"/>
              </w:rPr>
              <w:drawing>
                <wp:inline distT="114300" distB="114300" distL="114300" distR="114300">
                  <wp:extent cx="942975" cy="942975"/>
                  <wp:effectExtent l="0" t="0" r="0" b="0"/>
                  <wp:docPr id="11" name="image1.png" descr="PingIdentity_logo.png"/>
                  <wp:cNvGraphicFramePr/>
                  <a:graphic xmlns:a="http://schemas.openxmlformats.org/drawingml/2006/main">
                    <a:graphicData uri="http://schemas.openxmlformats.org/drawingml/2006/picture">
                      <pic:pic xmlns:pic="http://schemas.openxmlformats.org/drawingml/2006/picture">
                        <pic:nvPicPr>
                          <pic:cNvPr id="0" name="image1.png" descr="PingIdentity_logo.png"/>
                          <pic:cNvPicPr preferRelativeResize="0"/>
                        </pic:nvPicPr>
                        <pic:blipFill>
                          <a:blip r:embed="rId8"/>
                          <a:srcRect/>
                          <a:stretch>
                            <a:fillRect/>
                          </a:stretch>
                        </pic:blipFill>
                        <pic:spPr>
                          <a:xfrm>
                            <a:off x="0" y="0"/>
                            <a:ext cx="942975" cy="942975"/>
                          </a:xfrm>
                          <a:prstGeom prst="rect">
                            <a:avLst/>
                          </a:prstGeom>
                          <a:ln/>
                        </pic:spPr>
                      </pic:pic>
                    </a:graphicData>
                  </a:graphic>
                </wp:inline>
              </w:drawing>
            </w:r>
          </w:p>
        </w:tc>
        <w:tc>
          <w:tcPr>
            <w:tcW w:w="2700" w:type="dxa"/>
            <w:tcMar>
              <w:top w:w="100" w:type="dxa"/>
              <w:left w:w="100" w:type="dxa"/>
              <w:bottom w:w="100" w:type="dxa"/>
              <w:right w:w="100" w:type="dxa"/>
            </w:tcMar>
          </w:tcPr>
          <w:p w14:paraId="00000003" w14:textId="77777777" w:rsidR="000805AD" w:rsidRDefault="000805AD">
            <w:pPr>
              <w:widowControl w:val="0"/>
              <w:rPr>
                <w:rFonts w:ascii="Times" w:eastAsia="Times" w:hAnsi="Times" w:cs="Times"/>
                <w:sz w:val="20"/>
                <w:szCs w:val="20"/>
              </w:rPr>
            </w:pPr>
          </w:p>
          <w:p w14:paraId="00000004" w14:textId="77777777" w:rsidR="000805AD" w:rsidRDefault="00000000">
            <w:pPr>
              <w:widowControl w:val="0"/>
              <w:jc w:val="right"/>
              <w:rPr>
                <w:rFonts w:ascii="Times" w:eastAsia="Times" w:hAnsi="Times" w:cs="Times"/>
                <w:color w:val="434343"/>
                <w:sz w:val="20"/>
                <w:szCs w:val="20"/>
              </w:rPr>
            </w:pPr>
            <w:r>
              <w:rPr>
                <w:rFonts w:ascii="Times" w:eastAsia="Times" w:hAnsi="Times" w:cs="Times"/>
                <w:color w:val="434343"/>
                <w:sz w:val="20"/>
                <w:szCs w:val="20"/>
              </w:rPr>
              <w:t>Ping Identity Corporation</w:t>
            </w:r>
          </w:p>
          <w:p w14:paraId="00000005" w14:textId="77777777" w:rsidR="000805AD" w:rsidRDefault="00000000">
            <w:pPr>
              <w:widowControl w:val="0"/>
              <w:jc w:val="right"/>
              <w:rPr>
                <w:rFonts w:ascii="Times" w:eastAsia="Times" w:hAnsi="Times" w:cs="Times"/>
                <w:color w:val="434343"/>
                <w:sz w:val="20"/>
                <w:szCs w:val="20"/>
              </w:rPr>
            </w:pPr>
            <w:r>
              <w:rPr>
                <w:rFonts w:ascii="Times" w:eastAsia="Times" w:hAnsi="Times" w:cs="Times"/>
                <w:color w:val="434343"/>
                <w:sz w:val="20"/>
                <w:szCs w:val="20"/>
              </w:rPr>
              <w:t>1001 17th Street, Suite 100</w:t>
            </w:r>
          </w:p>
          <w:p w14:paraId="00000006" w14:textId="77777777" w:rsidR="000805AD" w:rsidRDefault="00000000">
            <w:pPr>
              <w:widowControl w:val="0"/>
              <w:jc w:val="right"/>
              <w:rPr>
                <w:rFonts w:ascii="Times" w:eastAsia="Times" w:hAnsi="Times" w:cs="Times"/>
                <w:color w:val="434343"/>
                <w:sz w:val="20"/>
                <w:szCs w:val="20"/>
              </w:rPr>
            </w:pPr>
            <w:r>
              <w:rPr>
                <w:rFonts w:ascii="Times" w:eastAsia="Times" w:hAnsi="Times" w:cs="Times"/>
                <w:color w:val="434343"/>
                <w:sz w:val="20"/>
                <w:szCs w:val="20"/>
              </w:rPr>
              <w:t>Denver, CO 80202</w:t>
            </w:r>
          </w:p>
          <w:p w14:paraId="00000007" w14:textId="77777777" w:rsidR="000805AD" w:rsidRDefault="000805AD">
            <w:pPr>
              <w:widowControl w:val="0"/>
              <w:jc w:val="both"/>
              <w:rPr>
                <w:rFonts w:ascii="Times" w:eastAsia="Times" w:hAnsi="Times" w:cs="Times"/>
                <w:sz w:val="20"/>
                <w:szCs w:val="20"/>
              </w:rPr>
            </w:pPr>
          </w:p>
        </w:tc>
      </w:tr>
    </w:tbl>
    <w:p w14:paraId="00000008" w14:textId="77777777" w:rsidR="000805AD" w:rsidRDefault="00000000">
      <w:pPr>
        <w:spacing w:line="276" w:lineRule="auto"/>
        <w:rPr>
          <w:rFonts w:ascii="Times New Roman" w:eastAsia="Times New Roman" w:hAnsi="Times New Roman" w:cs="Times New Roman"/>
          <w:sz w:val="24"/>
          <w:szCs w:val="24"/>
        </w:rPr>
      </w:pPr>
      <w:r>
        <w:rPr>
          <w:rFonts w:ascii="Times" w:eastAsia="Times" w:hAnsi="Times" w:cs="Times"/>
          <w:sz w:val="20"/>
          <w:szCs w:val="20"/>
        </w:rPr>
        <w:t xml:space="preserve"> </w:t>
      </w:r>
      <w:r w:rsidR="00A774D7">
        <w:rPr>
          <w:noProof/>
        </w:rPr>
        <w:pict w14:anchorId="0D74818C">
          <v:rect id="_x0000_i1030" alt="" style="width:451.3pt;height:.05pt;mso-width-percent:0;mso-height-percent:0;mso-width-percent:0;mso-height-percent:0" o:hralign="center" o:hrstd="t" o:hr="t" fillcolor="#a0a0a0" stroked="f"/>
        </w:pict>
      </w:r>
    </w:p>
    <w:p w14:paraId="00000009" w14:textId="77777777" w:rsidR="000805AD"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Executive Summary: Ping Identity Proposal – &lt;Customer / Project&gt;</w:t>
      </w:r>
    </w:p>
    <w:p w14:paraId="0000000A" w14:textId="77777777" w:rsidR="000805AD" w:rsidRDefault="00A774D7">
      <w:pPr>
        <w:spacing w:line="240" w:lineRule="auto"/>
        <w:rPr>
          <w:rFonts w:ascii="Times New Roman" w:eastAsia="Times New Roman" w:hAnsi="Times New Roman" w:cs="Times New Roman"/>
          <w:sz w:val="24"/>
          <w:szCs w:val="24"/>
        </w:rPr>
      </w:pPr>
      <w:r>
        <w:rPr>
          <w:noProof/>
        </w:rPr>
        <w:pict w14:anchorId="1D4BFCA6">
          <v:rect id="_x0000_i1029" alt="" style="width:451.3pt;height:.05pt;mso-width-percent:0;mso-height-percent:0;mso-width-percent:0;mso-height-percent:0" o:hralign="center" o:hrstd="t" o:hr="t" fillcolor="#a0a0a0" stroked="f"/>
        </w:pict>
      </w:r>
    </w:p>
    <w:p w14:paraId="0000000B" w14:textId="77777777" w:rsidR="000805AD" w:rsidRDefault="00000000">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Overview</w:t>
      </w:r>
      <w:r>
        <w:rPr>
          <w:rFonts w:ascii="Times New Roman" w:eastAsia="Times New Roman" w:hAnsi="Times New Roman" w:cs="Times New Roman"/>
          <w:color w:val="000000"/>
          <w:sz w:val="24"/>
          <w:szCs w:val="24"/>
        </w:rPr>
        <w:br/>
      </w:r>
      <w:sdt>
        <w:sdtPr>
          <w:tag w:val="goog_rdk_0"/>
          <w:id w:val="1562426503"/>
        </w:sdtPr>
        <w:sdtContent/>
      </w:sdt>
      <w:r>
        <w:rPr>
          <w:rFonts w:ascii="Times New Roman" w:eastAsia="Times New Roman" w:hAnsi="Times New Roman" w:cs="Times New Roman"/>
          <w:color w:val="000000"/>
          <w:sz w:val="20"/>
          <w:szCs w:val="20"/>
        </w:rPr>
        <w:t xml:space="preserve">Ping Identity is pleased to propose Phase 1 of </w:t>
      </w:r>
      <w:r>
        <w:rPr>
          <w:rFonts w:ascii="Times New Roman" w:eastAsia="Times New Roman" w:hAnsi="Times New Roman" w:cs="Times New Roman"/>
          <w:sz w:val="20"/>
          <w:szCs w:val="20"/>
        </w:rPr>
        <w:t xml:space="preserve">&lt;Customer’s&gt; </w:t>
      </w:r>
      <w:r>
        <w:rPr>
          <w:rFonts w:ascii="Times New Roman" w:eastAsia="Times New Roman" w:hAnsi="Times New Roman" w:cs="Times New Roman"/>
          <w:color w:val="000000"/>
          <w:sz w:val="20"/>
          <w:szCs w:val="20"/>
        </w:rPr>
        <w:t xml:space="preserve"> identity modernization journey: a full production-ready deployment of the PingOne platform, integrated with PingFederate and orchestrated through PingOne DaVinci.</w:t>
      </w:r>
    </w:p>
    <w:p w14:paraId="0000000C" w14:textId="77777777" w:rsidR="000805AD" w:rsidRDefault="00000000">
      <w:pPr>
        <w:spacing w:before="280" w:after="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engagement provides DaVita with:</w:t>
      </w:r>
    </w:p>
    <w:p w14:paraId="0000000D" w14:textId="77777777" w:rsidR="000805AD" w:rsidRDefault="00000000">
      <w:pPr>
        <w:numPr>
          <w:ilvl w:val="0"/>
          <w:numId w:val="4"/>
        </w:numPr>
        <w:spacing w:before="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modern, cloud-ready identity foundation</w:t>
      </w:r>
    </w:p>
    <w:p w14:paraId="0000000E" w14:textId="77777777" w:rsidR="000805AD"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Five fully built DaVinci flows for key authentication use cases</w:t>
      </w:r>
    </w:p>
    <w:p w14:paraId="0000000F" w14:textId="77777777" w:rsidR="000805AD" w:rsidRDefault="00000000">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sz w:val="20"/>
          <w:szCs w:val="20"/>
        </w:rPr>
        <w:t>Automated migrations of IdP-hosted application configurations for approximately 140 applications.</w:t>
      </w:r>
    </w:p>
    <w:p w14:paraId="00000010" w14:textId="77777777" w:rsidR="000805AD"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Final integration of six priority applications, plus configuration support for others not suited for automated migration</w:t>
      </w:r>
    </w:p>
    <w:p w14:paraId="00000011" w14:textId="77777777" w:rsidR="000805AD" w:rsidRDefault="00000000">
      <w:pPr>
        <w:numPr>
          <w:ilvl w:val="0"/>
          <w:numId w:val="4"/>
        </w:numPr>
        <w:spacing w:after="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Scalable architecture to accelerate future application onboarding</w:t>
      </w:r>
    </w:p>
    <w:p w14:paraId="00000012" w14:textId="77777777" w:rsidR="000805AD" w:rsidRDefault="00000000">
      <w:pPr>
        <w:spacing w:before="280" w:line="276"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While the initial set of applications represents a focused starting point, this project delivers the complete system DaVita needs to accelerate its cloud journey and support long-term growth.</w:t>
      </w:r>
    </w:p>
    <w:p w14:paraId="00000013" w14:textId="77777777" w:rsidR="000805AD" w:rsidRDefault="00000000">
      <w:pPr>
        <w:pBdr>
          <w:top w:val="nil"/>
          <w:left w:val="nil"/>
          <w:bottom w:val="nil"/>
          <w:right w:val="nil"/>
          <w:between w:val="nil"/>
        </w:pBdr>
        <w:spacing w:before="20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4"/>
          <w:szCs w:val="24"/>
        </w:rPr>
        <w:t>Why Ping Identity</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0"/>
          <w:szCs w:val="20"/>
        </w:rPr>
        <w:t xml:space="preserve">Extensive PingOne </w:t>
      </w:r>
      <w:r>
        <w:rPr>
          <w:rFonts w:ascii="Times New Roman" w:eastAsia="Times New Roman" w:hAnsi="Times New Roman" w:cs="Times New Roman"/>
          <w:b/>
          <w:bCs/>
          <w:sz w:val="20"/>
          <w:szCs w:val="20"/>
        </w:rPr>
        <w:t>Expertise</w:t>
      </w:r>
      <w:r>
        <w:rPr>
          <w:rFonts w:ascii="Times New Roman" w:eastAsia="Times New Roman" w:hAnsi="Times New Roman" w:cs="Times New Roman"/>
          <w:color w:val="000000"/>
          <w:sz w:val="20"/>
          <w:szCs w:val="20"/>
        </w:rPr>
        <w:br/>
        <w:t>Ping Identity has extensive experience delivering PingOne deployments across complex enterprise environments, ensuring secure, seamless user access at scale.</w:t>
      </w:r>
    </w:p>
    <w:p w14:paraId="00000014" w14:textId="77777777" w:rsidR="000805AD" w:rsidRDefault="00000000">
      <w:pPr>
        <w:pBdr>
          <w:top w:val="nil"/>
          <w:left w:val="nil"/>
          <w:bottom w:val="nil"/>
          <w:right w:val="nil"/>
          <w:between w:val="nil"/>
        </w:pBdr>
        <w:spacing w:before="20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Trusted Migration Experts</w:t>
      </w:r>
      <w:r>
        <w:rPr>
          <w:rFonts w:ascii="Times New Roman" w:eastAsia="Times New Roman" w:hAnsi="Times New Roman" w:cs="Times New Roman"/>
          <w:color w:val="000000"/>
          <w:sz w:val="20"/>
          <w:szCs w:val="20"/>
        </w:rPr>
        <w:br/>
        <w:t>Ping leads transitions from SiteMinder, Oracle IAM, legacy PingFederate, and other custom systems — reducing friction, accelerating timelines, and lowering risk.</w:t>
      </w:r>
    </w:p>
    <w:p w14:paraId="00000015" w14:textId="77777777" w:rsidR="000805AD" w:rsidRDefault="00000000">
      <w:pPr>
        <w:pBdr>
          <w:top w:val="nil"/>
          <w:left w:val="nil"/>
          <w:bottom w:val="nil"/>
          <w:right w:val="nil"/>
          <w:between w:val="nil"/>
        </w:pBdr>
        <w:spacing w:before="200" w:line="276"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Beyond SSO — Identity Orchestration</w:t>
      </w:r>
      <w:r>
        <w:rPr>
          <w:rFonts w:ascii="Times New Roman" w:eastAsia="Times New Roman" w:hAnsi="Times New Roman" w:cs="Times New Roman"/>
          <w:color w:val="000000"/>
          <w:sz w:val="20"/>
          <w:szCs w:val="20"/>
        </w:rPr>
        <w:br/>
        <w:t xml:space="preserve">With PingOne DaVinci, we deliver dynamic, policy-based orchestration across the lifecycle </w:t>
      </w:r>
    </w:p>
    <w:p w14:paraId="00000016" w14:textId="77777777" w:rsidR="000805AD" w:rsidRDefault="00000000">
      <w:pPr>
        <w:pBdr>
          <w:top w:val="nil"/>
          <w:left w:val="nil"/>
          <w:bottom w:val="nil"/>
          <w:right w:val="nil"/>
          <w:between w:val="nil"/>
        </w:pBdr>
        <w:spacing w:before="20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Backed by the Product Teams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0"/>
          <w:szCs w:val="20"/>
        </w:rPr>
        <w:t>Ping Identity Professional Services has direct access to the PingOne product and engineering teams. If DaVita encounters unique technical requirements or edge cases, we can escalate and engage the people building the platform to ensure the right outcome.</w:t>
      </w:r>
    </w:p>
    <w:p w14:paraId="00000017" w14:textId="77777777" w:rsidR="000805AD" w:rsidRDefault="00000000">
      <w:pPr>
        <w:spacing w:before="28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Our approach minimizes disruption and sets the stage for scalable identity modernization.</w:t>
      </w:r>
    </w:p>
    <w:p w14:paraId="00000018" w14:textId="77777777" w:rsidR="000805AD" w:rsidRDefault="00A774D7">
      <w:pPr>
        <w:spacing w:line="240" w:lineRule="auto"/>
        <w:rPr>
          <w:rFonts w:ascii="Times New Roman" w:eastAsia="Times New Roman" w:hAnsi="Times New Roman" w:cs="Times New Roman"/>
          <w:sz w:val="24"/>
          <w:szCs w:val="24"/>
        </w:rPr>
      </w:pPr>
      <w:r>
        <w:rPr>
          <w:noProof/>
        </w:rPr>
        <w:lastRenderedPageBreak/>
        <w:pict w14:anchorId="0DB79FED">
          <v:rect id="_x0000_i1028" alt="" style="width:451.3pt;height:.05pt;mso-width-percent:0;mso-height-percent:0;mso-width-percent:0;mso-height-percent:0" o:hralign="center" o:hrstd="t" o:hr="t" fillcolor="#a0a0a0" stroked="f"/>
        </w:pict>
      </w:r>
    </w:p>
    <w:p w14:paraId="00000019" w14:textId="77777777" w:rsidR="000805AD" w:rsidRDefault="00000000">
      <w:pPr>
        <w:spacing w:before="280" w:after="280" w:line="276"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Scope Highlights: Phase 1</w:t>
      </w:r>
    </w:p>
    <w:p w14:paraId="0000001A"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 and Design</w:t>
      </w:r>
    </w:p>
    <w:p w14:paraId="0000001B"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PingFederate Cleanup recommendations</w:t>
      </w:r>
    </w:p>
    <w:p w14:paraId="0000001C"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PingOne SSO and DaVinci deployment</w:t>
      </w:r>
    </w:p>
    <w:p w14:paraId="0000001D"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Five production-grade DaVinci flows for key use cases:</w:t>
      </w:r>
    </w:p>
    <w:p w14:paraId="0000001E" w14:textId="77777777" w:rsidR="000805AD" w:rsidRDefault="00000000">
      <w:pPr>
        <w:numPr>
          <w:ilvl w:val="1"/>
          <w:numId w:val="1"/>
        </w:numPr>
        <w:spacing w:line="276" w:lineRule="auto"/>
      </w:pPr>
      <w:r>
        <w:rPr>
          <w:rFonts w:ascii="Times New Roman" w:eastAsia="Times New Roman" w:hAnsi="Times New Roman" w:cs="Times New Roman"/>
          <w:sz w:val="20"/>
          <w:szCs w:val="20"/>
        </w:rPr>
        <w:t xml:space="preserve">PingFederate and PingOne SSO integration for a single login experience - don’t want to login twice </w:t>
      </w:r>
    </w:p>
    <w:p w14:paraId="0000001F" w14:textId="77777777" w:rsidR="000805AD" w:rsidRDefault="00000000">
      <w:pPr>
        <w:numPr>
          <w:ilvl w:val="1"/>
          <w:numId w:val="1"/>
        </w:numPr>
        <w:spacing w:line="276" w:lineRule="auto"/>
      </w:pPr>
      <w:r>
        <w:rPr>
          <w:rFonts w:ascii="Times New Roman" w:eastAsia="Times New Roman" w:hAnsi="Times New Roman" w:cs="Times New Roman"/>
          <w:sz w:val="20"/>
          <w:szCs w:val="20"/>
        </w:rPr>
        <w:t>Logout of PingFed, PingOne, and Legacy DSP</w:t>
      </w:r>
    </w:p>
    <w:p w14:paraId="00000020" w14:textId="77777777" w:rsidR="000805AD" w:rsidRDefault="00000000">
      <w:pPr>
        <w:numPr>
          <w:ilvl w:val="1"/>
          <w:numId w:val="1"/>
        </w:numPr>
        <w:spacing w:line="276" w:lineRule="auto"/>
      </w:pPr>
      <w:r>
        <w:rPr>
          <w:rFonts w:ascii="Times New Roman" w:eastAsia="Times New Roman" w:hAnsi="Times New Roman" w:cs="Times New Roman"/>
          <w:sz w:val="20"/>
          <w:szCs w:val="20"/>
        </w:rPr>
        <w:t>Self Service password resets</w:t>
      </w:r>
    </w:p>
    <w:p w14:paraId="00000021" w14:textId="77777777" w:rsidR="000805AD" w:rsidRDefault="00000000">
      <w:pPr>
        <w:numPr>
          <w:ilvl w:val="1"/>
          <w:numId w:val="1"/>
        </w:numPr>
        <w:spacing w:line="276" w:lineRule="auto"/>
      </w:pPr>
      <w:r>
        <w:rPr>
          <w:rFonts w:ascii="Times New Roman" w:eastAsia="Times New Roman" w:hAnsi="Times New Roman" w:cs="Times New Roman"/>
          <w:sz w:val="20"/>
          <w:szCs w:val="20"/>
        </w:rPr>
        <w:t>Password Expiry Notification</w:t>
      </w:r>
    </w:p>
    <w:p w14:paraId="00000022" w14:textId="77777777" w:rsidR="000805AD" w:rsidRDefault="00000000">
      <w:pPr>
        <w:numPr>
          <w:ilvl w:val="1"/>
          <w:numId w:val="1"/>
        </w:numPr>
        <w:spacing w:line="276" w:lineRule="auto"/>
      </w:pPr>
      <w:r>
        <w:rPr>
          <w:rFonts w:ascii="Times New Roman" w:eastAsia="Times New Roman" w:hAnsi="Times New Roman" w:cs="Times New Roman"/>
          <w:sz w:val="20"/>
          <w:szCs w:val="20"/>
        </w:rPr>
        <w:t>Account Lockouts</w:t>
      </w:r>
    </w:p>
    <w:p w14:paraId="00000023"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configurations with automated migrations</w:t>
      </w:r>
    </w:p>
    <w:p w14:paraId="00000024"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Guidance for six standards-based application integrations</w:t>
      </w:r>
    </w:p>
    <w:p w14:paraId="00000025" w14:textId="77777777" w:rsidR="000805AD" w:rsidRDefault="00000000">
      <w:pPr>
        <w:numPr>
          <w:ilvl w:val="0"/>
          <w:numId w:val="1"/>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Configuration support for non-auto-migratable patterns</w:t>
      </w:r>
    </w:p>
    <w:p w14:paraId="00000026" w14:textId="77777777" w:rsidR="000805AD" w:rsidRDefault="00000000">
      <w:pPr>
        <w:numPr>
          <w:ilvl w:val="0"/>
          <w:numId w:val="1"/>
        </w:numPr>
        <w:spacing w:after="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Go-live support and project management</w:t>
      </w:r>
    </w:p>
    <w:p w14:paraId="00000027" w14:textId="77777777" w:rsidR="000805AD" w:rsidRDefault="00A774D7">
      <w:pPr>
        <w:spacing w:line="240" w:lineRule="auto"/>
        <w:rPr>
          <w:rFonts w:ascii="Times New Roman" w:eastAsia="Times New Roman" w:hAnsi="Times New Roman" w:cs="Times New Roman"/>
          <w:sz w:val="24"/>
          <w:szCs w:val="24"/>
        </w:rPr>
      </w:pPr>
      <w:r>
        <w:rPr>
          <w:noProof/>
        </w:rPr>
        <w:pict w14:anchorId="47B566B6">
          <v:rect id="_x0000_i1027" alt="" style="width:451.3pt;height:.05pt;mso-width-percent:0;mso-height-percent:0;mso-width-percent:0;mso-height-percent:0" o:hralign="center" o:hrstd="t" o:hr="t" fillcolor="#a0a0a0" stroked="f"/>
        </w:pict>
      </w:r>
    </w:p>
    <w:p w14:paraId="00000028" w14:textId="77777777" w:rsidR="000805AD"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Estimated Investment</w:t>
      </w:r>
    </w:p>
    <w:p w14:paraId="00000029" w14:textId="77777777" w:rsidR="000805AD" w:rsidRDefault="00000000">
      <w:pPr>
        <w:numPr>
          <w:ilvl w:val="0"/>
          <w:numId w:val="2"/>
        </w:numPr>
        <w:spacing w:before="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Duration: 12–18 weeks</w:t>
      </w:r>
    </w:p>
    <w:p w14:paraId="0000002A" w14:textId="77777777" w:rsidR="000805AD" w:rsidRDefault="00000000">
      <w:pPr>
        <w:numPr>
          <w:ilvl w:val="0"/>
          <w:numId w:val="2"/>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$165,000 – $210,000 (Time &amp; Materials, Travel not included)</w:t>
      </w:r>
    </w:p>
    <w:p w14:paraId="0000002B" w14:textId="77777777" w:rsidR="000805AD" w:rsidRDefault="00000000">
      <w:pPr>
        <w:numPr>
          <w:ilvl w:val="0"/>
          <w:numId w:val="2"/>
        </w:numPr>
        <w:spacing w:after="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 Remote collaboration (On-site options for Design and Architecture Sessions)</w:t>
      </w:r>
    </w:p>
    <w:p w14:paraId="0000002C" w14:textId="77777777" w:rsidR="000805AD" w:rsidRDefault="00A774D7">
      <w:pPr>
        <w:spacing w:line="240" w:lineRule="auto"/>
        <w:rPr>
          <w:rFonts w:ascii="Times New Roman" w:eastAsia="Times New Roman" w:hAnsi="Times New Roman" w:cs="Times New Roman"/>
          <w:sz w:val="24"/>
          <w:szCs w:val="24"/>
        </w:rPr>
      </w:pPr>
      <w:r>
        <w:rPr>
          <w:noProof/>
        </w:rPr>
        <w:pict w14:anchorId="0AFADDA5">
          <v:rect id="_x0000_i1026" alt="" style="width:451.3pt;height:.05pt;mso-width-percent:0;mso-height-percent:0;mso-width-percent:0;mso-height-percent:0" o:hralign="center" o:hrstd="t" o:hr="t" fillcolor="#a0a0a0" stroked="f"/>
        </w:pict>
      </w:r>
    </w:p>
    <w:p w14:paraId="0000002D" w14:textId="77777777" w:rsidR="000805AD" w:rsidRDefault="00000000">
      <w:pPr>
        <w:spacing w:before="280" w:after="28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Phase 2 Planning</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Following Phase 1, DaVita will be well-positioned for expansion. Potential Phase 2 areas:</w:t>
      </w:r>
    </w:p>
    <w:p w14:paraId="0000002E" w14:textId="77777777" w:rsidR="000805AD" w:rsidRDefault="00000000">
      <w:pPr>
        <w:numPr>
          <w:ilvl w:val="0"/>
          <w:numId w:val="3"/>
        </w:numPr>
        <w:spacing w:before="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PingOne Protect configuration and analytics</w:t>
      </w:r>
    </w:p>
    <w:p w14:paraId="0000002F" w14:textId="77777777" w:rsidR="000805AD" w:rsidRDefault="00000000">
      <w:pPr>
        <w:numPr>
          <w:ilvl w:val="0"/>
          <w:numId w:val="3"/>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PingFederate GCP deployment guidance</w:t>
      </w:r>
    </w:p>
    <w:p w14:paraId="00000030" w14:textId="77777777" w:rsidR="000805AD" w:rsidRDefault="00000000">
      <w:pPr>
        <w:numPr>
          <w:ilvl w:val="0"/>
          <w:numId w:val="3"/>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Ongoing application migration and advisory support</w:t>
      </w:r>
    </w:p>
    <w:p w14:paraId="00000031" w14:textId="77777777" w:rsidR="000805AD" w:rsidRDefault="00000000">
      <w:pPr>
        <w:numPr>
          <w:ilvl w:val="0"/>
          <w:numId w:val="3"/>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additional DaVinci flows for new use cases</w:t>
      </w:r>
    </w:p>
    <w:p w14:paraId="00000032" w14:textId="77777777" w:rsidR="000805AD" w:rsidRDefault="00000000">
      <w:pPr>
        <w:numPr>
          <w:ilvl w:val="0"/>
          <w:numId w:val="3"/>
        </w:numPr>
        <w:spacing w:after="2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Optimization of legacy/custom integrations and removing technical debt</w:t>
      </w:r>
    </w:p>
    <w:p w14:paraId="00000033" w14:textId="77777777" w:rsidR="000805AD" w:rsidRDefault="00A774D7">
      <w:pPr>
        <w:spacing w:line="240" w:lineRule="auto"/>
        <w:rPr>
          <w:rFonts w:ascii="Times New Roman" w:eastAsia="Times New Roman" w:hAnsi="Times New Roman" w:cs="Times New Roman"/>
          <w:sz w:val="24"/>
          <w:szCs w:val="24"/>
        </w:rPr>
      </w:pPr>
      <w:r>
        <w:rPr>
          <w:noProof/>
        </w:rPr>
        <w:pict w14:anchorId="2BEF5A28">
          <v:rect id="_x0000_i1025" alt="" style="width:451.3pt;height:.05pt;mso-width-percent:0;mso-height-percent:0;mso-width-percent:0;mso-height-percent:0" o:hralign="center" o:hrstd="t" o:hr="t" fillcolor="#a0a0a0" stroked="f"/>
        </w:pict>
      </w:r>
    </w:p>
    <w:p w14:paraId="00000034" w14:textId="77777777" w:rsidR="000805AD" w:rsidRDefault="00000000">
      <w:pPr>
        <w:spacing w:line="276"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This proposal outlines a complete, production-ready identity platform tailored to DaVita’s needs. It delivers foundational architecture, orchestration, and initial app integration — while enabling streamlined onboarding of future applications.</w:t>
      </w:r>
    </w:p>
    <w:p w14:paraId="00000035" w14:textId="77777777" w:rsidR="000805AD" w:rsidRDefault="000805AD">
      <w:pPr>
        <w:spacing w:line="276" w:lineRule="auto"/>
        <w:rPr>
          <w:rFonts w:ascii="Times New Roman" w:eastAsia="Times New Roman" w:hAnsi="Times New Roman" w:cs="Times New Roman"/>
          <w:sz w:val="20"/>
          <w:szCs w:val="20"/>
        </w:rPr>
      </w:pPr>
    </w:p>
    <w:p w14:paraId="00000036" w14:textId="77777777" w:rsidR="000805AD" w:rsidRDefault="00000000">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With Ping as your strategic partner, DaVita is well-positioned to achieve secure, scalable, and cloud-first identity success.</w:t>
      </w:r>
    </w:p>
    <w:p w14:paraId="00000037" w14:textId="77777777" w:rsidR="000805AD" w:rsidRDefault="000805AD"/>
    <w:sectPr w:rsidR="000805A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145CE" w14:textId="77777777" w:rsidR="00A774D7" w:rsidRDefault="00A774D7">
      <w:pPr>
        <w:spacing w:line="240" w:lineRule="auto"/>
      </w:pPr>
      <w:r>
        <w:separator/>
      </w:r>
    </w:p>
  </w:endnote>
  <w:endnote w:type="continuationSeparator" w:id="0">
    <w:p w14:paraId="6C5177EF" w14:textId="77777777" w:rsidR="00A774D7" w:rsidRDefault="00A774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03E751-9894-BA41-94EC-09B96431BB7E}"/>
  </w:font>
  <w:font w:name="Courier New">
    <w:panose1 w:val="02070309020205020404"/>
    <w:charset w:val="00"/>
    <w:family w:val="modern"/>
    <w:pitch w:val="fixed"/>
    <w:sig w:usb0="E0002AFF" w:usb1="C0007843" w:usb2="00000009" w:usb3="00000000" w:csb0="000001FF" w:csb1="00000000"/>
    <w:embedRegular r:id="rId2" w:fontKey="{0492A1D6-8D4E-8E43-8DBE-00DEA425752B}"/>
  </w:font>
  <w:font w:name="Arial">
    <w:panose1 w:val="020B0604020202020204"/>
    <w:charset w:val="00"/>
    <w:family w:val="swiss"/>
    <w:pitch w:val="variable"/>
    <w:sig w:usb0="E0002AFF" w:usb1="C0007843" w:usb2="00000009" w:usb3="00000000" w:csb0="000001FF" w:csb1="00000000"/>
    <w:embedRegular r:id="rId3" w:fontKey="{8CA82ACE-9B6E-464F-8EEA-278E726ACA72}"/>
    <w:embedBold r:id="rId4" w:fontKey="{04A36A6E-5519-B64D-AFE0-16AE27AC47CA}"/>
  </w:font>
  <w:font w:name="Times New Roman">
    <w:panose1 w:val="02020603050405020304"/>
    <w:charset w:val="00"/>
    <w:family w:val="roman"/>
    <w:pitch w:val="variable"/>
    <w:sig w:usb0="E0002EFF" w:usb1="C000785B" w:usb2="00000009" w:usb3="00000000" w:csb0="000001FF" w:csb1="00000000"/>
    <w:embedRegular r:id="rId5" w:fontKey="{687C8614-FE41-7C45-9352-9344E17DBA6B}"/>
    <w:embedBold r:id="rId6" w:fontKey="{8641B805-12CE-154F-8879-2D2A486941B1}"/>
  </w:font>
  <w:font w:name="Calibri">
    <w:panose1 w:val="020F0502020204030204"/>
    <w:charset w:val="00"/>
    <w:family w:val="swiss"/>
    <w:pitch w:val="variable"/>
    <w:sig w:usb0="E0002AFF" w:usb1="C000247B" w:usb2="00000009" w:usb3="00000000" w:csb0="000001FF" w:csb1="00000000"/>
    <w:embedRegular r:id="rId7" w:fontKey="{E894B33A-7B64-4A4A-9BAE-DE68FD297896}"/>
  </w:font>
  <w:font w:name="Book Antiqua">
    <w:panose1 w:val="02040602050305030304"/>
    <w:charset w:val="00"/>
    <w:family w:val="roman"/>
    <w:pitch w:val="variable"/>
    <w:sig w:usb0="00000287" w:usb1="00000000" w:usb2="00000000" w:usb3="00000000" w:csb0="0000009F" w:csb1="00000000"/>
    <w:embedRegular r:id="rId8" w:fontKey="{413D2FAC-0356-114E-A1A6-AA96E7886879}"/>
  </w:font>
  <w:font w:name="Time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B00C718B-6C31-344D-A820-B2208C936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0805AD"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jc w:val="right"/>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fldChar w:fldCharType="begin"/>
    </w:r>
    <w:r>
      <w:rPr>
        <w:rFonts w:ascii="Calibri" w:eastAsia="Calibri" w:hAnsi="Calibri" w:cs="Calibri"/>
        <w:color w:val="000000"/>
        <w:sz w:val="24"/>
        <w:szCs w:val="24"/>
        <w:highlight w:val="yellow"/>
      </w:rPr>
      <w:instrText>PAGE</w:instrText>
    </w:r>
    <w:r>
      <w:rPr>
        <w:rFonts w:ascii="Calibri" w:eastAsia="Calibri" w:hAnsi="Calibri" w:cs="Calibri"/>
        <w:color w:val="000000"/>
        <w:sz w:val="24"/>
        <w:szCs w:val="24"/>
        <w:highlight w:val="yellow"/>
      </w:rPr>
      <w:fldChar w:fldCharType="separate"/>
    </w:r>
    <w:r>
      <w:rPr>
        <w:rFonts w:ascii="Calibri" w:eastAsia="Calibri" w:hAnsi="Calibri" w:cs="Calibri"/>
        <w:color w:val="000000"/>
        <w:sz w:val="24"/>
        <w:szCs w:val="24"/>
        <w:highlight w:val="yellow"/>
      </w:rPr>
      <w:fldChar w:fldCharType="end"/>
    </w:r>
  </w:p>
  <w:p w14:paraId="0000003F" w14:textId="77777777" w:rsidR="000805AD" w:rsidRDefault="000805A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ind w:right="360"/>
      <w:rPr>
        <w:rFonts w:ascii="Calibri" w:eastAsia="Calibri" w:hAnsi="Calibri" w:cs="Calibri"/>
        <w:color w:val="000000"/>
        <w:sz w:val="24"/>
        <w:szCs w:val="24"/>
        <w:highlight w:val="yel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0805AD" w:rsidRDefault="000805A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ind w:right="360"/>
      <w:rPr>
        <w:rFonts w:ascii="Times" w:eastAsia="Times" w:hAnsi="Times" w:cs="Times"/>
        <w:i/>
        <w:iCs/>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0805AD" w:rsidRDefault="000805A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61810" w14:textId="77777777" w:rsidR="00A774D7" w:rsidRDefault="00A774D7">
      <w:pPr>
        <w:spacing w:line="240" w:lineRule="auto"/>
      </w:pPr>
      <w:r>
        <w:separator/>
      </w:r>
    </w:p>
  </w:footnote>
  <w:footnote w:type="continuationSeparator" w:id="0">
    <w:p w14:paraId="7134BECA" w14:textId="77777777" w:rsidR="00A774D7" w:rsidRDefault="00A774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0805AD" w:rsidRDefault="000805A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0805AD" w:rsidRDefault="000805AD">
    <w:pPr>
      <w:tabs>
        <w:tab w:val="center" w:pos="4680"/>
        <w:tab w:val="right" w:pos="9360"/>
      </w:tabs>
      <w:spacing w:line="276" w:lineRule="auto"/>
      <w:rPr>
        <w:rFonts w:ascii="Times" w:eastAsia="Times" w:hAnsi="Times" w:cs="Times"/>
        <w:sz w:val="18"/>
        <w:szCs w:val="18"/>
      </w:rPr>
    </w:pPr>
  </w:p>
  <w:p w14:paraId="00000039" w14:textId="77777777" w:rsidR="000805AD" w:rsidRDefault="000805AD">
    <w:pPr>
      <w:pBdr>
        <w:top w:val="nil"/>
        <w:left w:val="nil"/>
        <w:bottom w:val="nil"/>
        <w:right w:val="nil"/>
        <w:between w:val="nil"/>
      </w:pBdr>
      <w:tabs>
        <w:tab w:val="center" w:pos="4680"/>
        <w:tab w:val="right" w:pos="936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0805AD" w:rsidRDefault="000805A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F7EDD"/>
    <w:multiLevelType w:val="multilevel"/>
    <w:tmpl w:val="7B529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523697"/>
    <w:multiLevelType w:val="multilevel"/>
    <w:tmpl w:val="0EBA4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8DC15B1"/>
    <w:multiLevelType w:val="multilevel"/>
    <w:tmpl w:val="CB5E90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8F80629"/>
    <w:multiLevelType w:val="multilevel"/>
    <w:tmpl w:val="20EC4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44308767">
    <w:abstractNumId w:val="0"/>
  </w:num>
  <w:num w:numId="2" w16cid:durableId="216401087">
    <w:abstractNumId w:val="2"/>
  </w:num>
  <w:num w:numId="3" w16cid:durableId="2028016817">
    <w:abstractNumId w:val="3"/>
  </w:num>
  <w:num w:numId="4" w16cid:durableId="494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5AD"/>
    <w:rsid w:val="000805AD"/>
    <w:rsid w:val="00502C63"/>
    <w:rsid w:val="006E4C53"/>
    <w:rsid w:val="00A77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2A0AFDE-7800-074D-8C2A-58C51FA4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en"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320" w:after="160" w:line="331" w:lineRule="auto"/>
      <w:outlineLvl w:val="5"/>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aliases w:val="List Bullets"/>
    <w:basedOn w:val="Normal"/>
    <w:link w:val="ListParagraphChar"/>
    <w:uiPriority w:val="34"/>
    <w:qFormat/>
    <w:rsid w:val="00C94E2E"/>
    <w:pPr>
      <w:ind w:left="720"/>
      <w:contextualSpacing/>
    </w:pPr>
  </w:style>
  <w:style w:type="paragraph" w:styleId="NormalWeb">
    <w:name w:val="Normal (Web)"/>
    <w:basedOn w:val="Normal"/>
    <w:uiPriority w:val="99"/>
    <w:semiHidden/>
    <w:unhideWhenUsed/>
    <w:rsid w:val="005D64E0"/>
    <w:pPr>
      <w:spacing w:before="100" w:beforeAutospacing="1" w:after="100" w:afterAutospacing="1" w:line="240" w:lineRule="auto"/>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C22DE"/>
    <w:rPr>
      <w:sz w:val="18"/>
      <w:szCs w:val="18"/>
    </w:rPr>
  </w:style>
  <w:style w:type="paragraph" w:styleId="CommentText">
    <w:name w:val="annotation text"/>
    <w:basedOn w:val="Normal"/>
    <w:link w:val="CommentTextChar"/>
    <w:uiPriority w:val="99"/>
    <w:semiHidden/>
    <w:unhideWhenUsed/>
    <w:rsid w:val="001C22DE"/>
    <w:pPr>
      <w:spacing w:line="240" w:lineRule="auto"/>
    </w:pPr>
    <w:rPr>
      <w:sz w:val="24"/>
      <w:szCs w:val="24"/>
    </w:rPr>
  </w:style>
  <w:style w:type="character" w:customStyle="1" w:styleId="CommentTextChar">
    <w:name w:val="Comment Text Char"/>
    <w:basedOn w:val="DefaultParagraphFont"/>
    <w:link w:val="CommentText"/>
    <w:uiPriority w:val="99"/>
    <w:semiHidden/>
    <w:rsid w:val="001C22DE"/>
    <w:rPr>
      <w:sz w:val="24"/>
      <w:szCs w:val="24"/>
    </w:rPr>
  </w:style>
  <w:style w:type="paragraph" w:styleId="CommentSubject">
    <w:name w:val="annotation subject"/>
    <w:basedOn w:val="CommentText"/>
    <w:next w:val="CommentText"/>
    <w:link w:val="CommentSubjectChar"/>
    <w:uiPriority w:val="99"/>
    <w:semiHidden/>
    <w:unhideWhenUsed/>
    <w:rsid w:val="001C22DE"/>
    <w:rPr>
      <w:b/>
      <w:bCs/>
      <w:sz w:val="20"/>
      <w:szCs w:val="20"/>
    </w:rPr>
  </w:style>
  <w:style w:type="character" w:customStyle="1" w:styleId="CommentSubjectChar">
    <w:name w:val="Comment Subject Char"/>
    <w:basedOn w:val="CommentTextChar"/>
    <w:link w:val="CommentSubject"/>
    <w:uiPriority w:val="99"/>
    <w:semiHidden/>
    <w:rsid w:val="001C22DE"/>
    <w:rPr>
      <w:b/>
      <w:bCs/>
      <w:sz w:val="20"/>
      <w:szCs w:val="20"/>
    </w:rPr>
  </w:style>
  <w:style w:type="paragraph" w:styleId="BalloonText">
    <w:name w:val="Balloon Text"/>
    <w:basedOn w:val="Normal"/>
    <w:link w:val="BalloonTextChar"/>
    <w:uiPriority w:val="99"/>
    <w:semiHidden/>
    <w:unhideWhenUsed/>
    <w:rsid w:val="001C22D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22DE"/>
    <w:rPr>
      <w:rFonts w:ascii="Times New Roman" w:hAnsi="Times New Roman" w:cs="Times New Roman"/>
      <w:sz w:val="18"/>
      <w:szCs w:val="18"/>
    </w:rPr>
  </w:style>
  <w:style w:type="table" w:styleId="TableGrid">
    <w:name w:val="Table Grid"/>
    <w:basedOn w:val="TableNormal"/>
    <w:uiPriority w:val="39"/>
    <w:rsid w:val="00196D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045F"/>
    <w:pPr>
      <w:tabs>
        <w:tab w:val="center" w:pos="4680"/>
        <w:tab w:val="right" w:pos="9360"/>
      </w:tabs>
      <w:spacing w:line="240" w:lineRule="auto"/>
    </w:pPr>
    <w:rPr>
      <w:rFonts w:asciiTheme="minorHAnsi" w:eastAsiaTheme="minorHAnsi" w:hAnsiTheme="minorHAnsi" w:cstheme="minorBidi"/>
      <w:sz w:val="24"/>
      <w:szCs w:val="24"/>
      <w:lang w:val="en-US"/>
    </w:rPr>
  </w:style>
  <w:style w:type="character" w:customStyle="1" w:styleId="FooterChar">
    <w:name w:val="Footer Char"/>
    <w:basedOn w:val="DefaultParagraphFont"/>
    <w:link w:val="Footer"/>
    <w:uiPriority w:val="99"/>
    <w:rsid w:val="000A045F"/>
    <w:rPr>
      <w:rFonts w:asciiTheme="minorHAnsi" w:eastAsiaTheme="minorHAnsi" w:hAnsiTheme="minorHAnsi" w:cstheme="minorBidi"/>
      <w:color w:val="auto"/>
      <w:sz w:val="24"/>
      <w:szCs w:val="24"/>
      <w:lang w:val="en-US"/>
    </w:rPr>
  </w:style>
  <w:style w:type="paragraph" w:styleId="BodyText">
    <w:name w:val="Body Text"/>
    <w:aliases w:val="Body Text Char2 Char,Body Text Char1 Char Char,Body Text Char2 Char Char Char,Body Text Char1 Char Char Char Char,bt Char1 Char Char Char Char,Body Text Char Char Char Char Char Char Char,bt Char Char Char Char Char Char Char,b"/>
    <w:basedOn w:val="Normal"/>
    <w:link w:val="BodyTextChar1"/>
    <w:rsid w:val="009627A7"/>
    <w:pPr>
      <w:spacing w:after="240" w:line="240" w:lineRule="auto"/>
      <w:ind w:left="3600" w:right="540"/>
      <w:jc w:val="both"/>
    </w:pPr>
    <w:rPr>
      <w:rFonts w:ascii="Book Antiqua" w:eastAsia="Times New Roman" w:hAnsi="Book Antiqua" w:cs="Times New Roman"/>
      <w:sz w:val="20"/>
      <w:szCs w:val="20"/>
      <w:lang w:val="en-US"/>
    </w:rPr>
  </w:style>
  <w:style w:type="character" w:customStyle="1" w:styleId="BodyTextChar">
    <w:name w:val="Body Text Char"/>
    <w:basedOn w:val="DefaultParagraphFont"/>
    <w:uiPriority w:val="99"/>
    <w:semiHidden/>
    <w:rsid w:val="009627A7"/>
  </w:style>
  <w:style w:type="character" w:customStyle="1" w:styleId="BodyTextChar1">
    <w:name w:val="Body Text Char1"/>
    <w:aliases w:val="Body Text Char2 Char Char,Body Text Char1 Char Char Char,Body Text Char2 Char Char Char Char,Body Text Char1 Char Char Char Char Char,bt Char1 Char Char Char Char Char,Body Text Char Char Char Char Char Char Char Char,b Char"/>
    <w:basedOn w:val="DefaultParagraphFont"/>
    <w:link w:val="BodyText"/>
    <w:rsid w:val="009627A7"/>
    <w:rPr>
      <w:rFonts w:ascii="Book Antiqua" w:eastAsia="Times New Roman" w:hAnsi="Book Antiqua" w:cs="Times New Roman"/>
      <w:color w:val="auto"/>
      <w:sz w:val="20"/>
      <w:szCs w:val="20"/>
      <w:lang w:val="en-US"/>
    </w:rPr>
  </w:style>
  <w:style w:type="paragraph" w:styleId="Header">
    <w:name w:val="header"/>
    <w:basedOn w:val="Normal"/>
    <w:link w:val="HeaderChar"/>
    <w:uiPriority w:val="99"/>
    <w:unhideWhenUsed/>
    <w:rsid w:val="001D6148"/>
    <w:pPr>
      <w:tabs>
        <w:tab w:val="center" w:pos="4680"/>
        <w:tab w:val="right" w:pos="9360"/>
      </w:tabs>
      <w:spacing w:line="240" w:lineRule="auto"/>
    </w:pPr>
  </w:style>
  <w:style w:type="character" w:customStyle="1" w:styleId="HeaderChar">
    <w:name w:val="Header Char"/>
    <w:basedOn w:val="DefaultParagraphFont"/>
    <w:link w:val="Header"/>
    <w:uiPriority w:val="99"/>
    <w:rsid w:val="001D6148"/>
  </w:style>
  <w:style w:type="character" w:styleId="PageNumber">
    <w:name w:val="page number"/>
    <w:basedOn w:val="DefaultParagraphFont"/>
    <w:uiPriority w:val="99"/>
    <w:semiHidden/>
    <w:unhideWhenUsed/>
    <w:rsid w:val="00123E66"/>
  </w:style>
  <w:style w:type="paragraph" w:styleId="Revision">
    <w:name w:val="Revision"/>
    <w:hidden/>
    <w:uiPriority w:val="99"/>
    <w:semiHidden/>
    <w:rsid w:val="00123E66"/>
    <w:pPr>
      <w:spacing w:line="240" w:lineRule="auto"/>
    </w:pPr>
  </w:style>
  <w:style w:type="paragraph" w:customStyle="1" w:styleId="msolistparagraph0">
    <w:name w:val="msolistparagraph0"/>
    <w:basedOn w:val="Normal"/>
    <w:uiPriority w:val="99"/>
    <w:rsid w:val="00F53AB2"/>
    <w:pPr>
      <w:spacing w:line="240" w:lineRule="auto"/>
      <w:ind w:left="720"/>
    </w:pPr>
    <w:rPr>
      <w:rFonts w:ascii="Calibri" w:eastAsia="Times New Roman" w:hAnsi="Calibri" w:cs="Times New Roman"/>
      <w:sz w:val="22"/>
      <w:szCs w:val="22"/>
      <w:lang w:val="en-US"/>
    </w:rPr>
  </w:style>
  <w:style w:type="paragraph" w:styleId="DocumentMap">
    <w:name w:val="Document Map"/>
    <w:basedOn w:val="Normal"/>
    <w:link w:val="DocumentMapChar"/>
    <w:uiPriority w:val="99"/>
    <w:semiHidden/>
    <w:unhideWhenUsed/>
    <w:rsid w:val="00E0591D"/>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0591D"/>
    <w:rPr>
      <w:rFonts w:ascii="Times New Roman" w:hAnsi="Times New Roman" w:cs="Times New Roman"/>
      <w:sz w:val="24"/>
      <w:szCs w:val="24"/>
    </w:rPr>
  </w:style>
  <w:style w:type="character" w:customStyle="1" w:styleId="ListParagraphChar">
    <w:name w:val="List Paragraph Char"/>
    <w:aliases w:val="List Bullets Char"/>
    <w:basedOn w:val="DefaultParagraphFont"/>
    <w:link w:val="ListParagraph"/>
    <w:uiPriority w:val="34"/>
    <w:locked/>
    <w:rsid w:val="00ED5314"/>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character" w:styleId="Strong">
    <w:name w:val="Strong"/>
    <w:basedOn w:val="DefaultParagraphFont"/>
    <w:uiPriority w:val="22"/>
    <w:qFormat/>
    <w:rsid w:val="009703EE"/>
    <w:rPr>
      <w:b/>
      <w:bCs/>
    </w:rPr>
  </w:style>
  <w:style w:type="table" w:customStyle="1" w:styleId="afa">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b">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bXGUcu4i7cKjyeXew0Ue5O5Mw==">CgMxLjAaJwoBMBIiCiAIBCocCgtBQUFCeGZ4RndZTRAIGgtBQUFCeGZ4RndZTSK5CgoLQUFBQnhmeEZ3WU0SiQoKC0FBQUJ4ZnhGd1lNEgtBQUFCeGZ4RndZTRpuCgl0ZXh0L2h0bWwSYXRoaXMgaXMgYSBzYW1wbGUgLSBwcm92aWRlIGEgaGlnaCBsZXZlbCBvdmVydmlldyBvZiB0aGUgYmVuZWZpdHMgLyBvdXRjb21lcyBvZiBkb2luZyB0aGUgcHJvamVjdHMibwoKdGV4dC9wbGFpbhJhdGhpcyBpcyBhIHNhbXBsZSAtIHByb3ZpZGUgYSBoaWdoIGxldmVsIG92ZXJ2aWV3IG9mIHRoZSBiZW5lZml0cyAvIG91dGNvbWVzIG9mIGRvaW5nIHRoZSBwcm9qZWN0cyobIhUxMDMzMDk4MjkyMzI2MTM3NDE2NDMoADgAMMXcoZ+xMzjF3KGfsTNK3QYKCnRleHQvcGxhaW4SzgZQaW5nIElkZW50aXR5IGlzIHBsZWFzZWQgdG8gcHJvcG9zZSBQaGFzZSAxIG9mIDxDdXN0b21lcuKAmXM+ICBpZGVudGl0eSBtb2Rlcm5pemF0aW9uIGpvdXJuZXk6IGEgZnVsbCBwcm9kdWN0aW9uLXJlYWR5IGRlcGxveW1lbnQgb2YgdGhlIFBpbmdPbmUgcGxhdGZvcm0sIGludGVncmF0ZWQgd2l0aCBQaW5nRmVkZXJhdGUgYW5kIG9yY2hlc3RyYXRlZCB0aHJvdWdoIFBpbmdPbmUgRGFWaW5jaS4KVGhpcyBlbmdhZ2VtZW50IHByb3ZpZGVzIERhVml0YSB3aXRoOgpBIG1vZGVybiwgY2xvdWQtcmVhZHkgaWRlbnRpdHkgZm91bmRhdGlvbgpGaXZlIGZ1bGx5IGJ1aWx0IERhVmluY2kgZmxvd3MgZm9yIGtleSBhdXRoZW50aWNhdGlvbiB1c2UgY2FzZXMKQXV0b21hdGVkIG1pZ3JhdGlvbnMgb2YgSWRQLWhvc3RlZCBhcHBsaWNhdGlvbiBjb25maWd1cmF0aW9ucyBmb3IgYXBwcm94aW1hdGVseSAxNDAgYXBwbGljYXRpb25zLgpGaW5hbCBpbnRlZ3JhdGlvbiBvZiBzaXggcHJpb3JpdHkgYXBwbGljYXRpb25zLCBwbHVzIGNvbmZpZ3VyYXRpb24gc3VwcG9ydCBmb3Igb3RoZXJzIG5vdCBzdWl0ZWQgZm9yIGF1dG9tYXRlZCBtaWdyYXRpb24KU2NhbGFibGUgYXJjaGl0ZWN0dXJlIHRvIGFjY2VsZXJhdGUgZnV0dXJlIGFwcGxpY2F0aW9uIG9uYm9hcmRpbmcKV2hpbGUgdGhlIGluaXRpYWwgc2V0IG9mIGFwcGxpY2F0aW9ucyByZXByZXNlbnRzIGEgZm9jdXNlZCBzdGFydGluZyBwb2ludCwgdGhpcyBwcm9qZWN0IGRlbGl2ZXJzIHRoZSBjb21wbGV0ZSBzeXN0ZW0gRGFWaXRhIG5lZWRzIHRvIGFjY2VsZXJhdGUgaXRzIGNsb3VkIGpvdXJuZXkgYW5kIHN1cHBvcnQgbG9uZy10ZXJtIGdyb3d0aC5aDDUzN3FwMTRuam1mbXICIAB4AJoBBggAEAAYAKoBYxJhdGhpcyBpcyBhIHNhbXBsZSAtIHByb3ZpZGUgYSBoaWdoIGxldmVsIG92ZXJ2aWV3IG9mIHRoZSBiZW5lZml0cyAvIG91dGNvbWVzIG9mIGRvaW5nIHRoZSBwcm9qZWN0cxjF3KGfsTMgxdyhn7EzQhBraXguNGpqNDc0MzZ6anFxMghoLmdqZGd4czgAciExUEEwSDViNThvZjRWX1k2bGt4dDhLNkZidXZhdEk5S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514</Words>
  <Characters>2936</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Maiah Lawson</dc:creator>
  <cp:lastModifiedBy>Mark Brailsford</cp:lastModifiedBy>
  <cp:revision>2</cp:revision>
  <dcterms:created xsi:type="dcterms:W3CDTF">2025-11-18T23:29:00Z</dcterms:created>
  <dcterms:modified xsi:type="dcterms:W3CDTF">2026-03-05T10:49:00Z</dcterms:modified>
</cp:coreProperties>
</file>