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pPr/>
    </w:p>
    <w:p>
      <w:pPr/>
      <w:r>
        <w:rPr>
          <w:b/>
          <w:sz w:val="28"/>
        </w:rPr>
        <w:t>Key Benefits</w:t>
      </w:r>
    </w:p>
    <w:p>
      <w:pPr/>
      <w:r>
        <w:t xml:space="preserve">• </w:t>
      </w:r>
      <w:r>
        <w:rPr>
          <w:b/>
        </w:rPr>
        <w:t xml:space="preserve">Maintain Traceability: </w:t>
      </w:r>
      <w:r>
        <w:t>Tie each recommendation to concrete evidence (config exports, screenshots, transcripts, tickets) so stakeholders can see exactly why it matters and act quickly.</w:t>
      </w:r>
    </w:p>
    <w:p>
      <w:pPr/>
      <w:r>
        <w:t xml:space="preserve">• </w:t>
      </w:r>
      <w:r>
        <w:rPr>
          <w:b/>
        </w:rPr>
        <w:t xml:space="preserve">Improve Decision‑Making: </w:t>
      </w:r>
      <w:r>
        <w:t>Present findings in an action‑ready format—organized by pillar—with clear risk/impact and validation guidance.</w:t>
      </w:r>
    </w:p>
    <w:p>
      <w:pPr/>
      <w:r>
        <w:t xml:space="preserve">• </w:t>
      </w:r>
      <w:r>
        <w:rPr>
          <w:b/>
        </w:rPr>
        <w:t xml:space="preserve">Standardize Delivery: </w:t>
      </w:r>
      <w:r>
        <w:t>Use a consistent matrix format across engagements so reviewers can validate quickly and follow‑on work is easier to scope.</w:t>
      </w:r>
    </w:p>
    <w:p>
      <w:pPr/>
    </w:p>
    <w:p>
      <w:pPr>
        <w:pStyle w:val="Heading1"/>
      </w:pPr>
      <w:r>
        <w:t>Purpose and Scope</w:t>
      </w:r>
    </w:p>
    <w:p>
      <w:pPr/>
      <w:r>
        <w:rPr>
          <w:b w:val="0"/>
        </w:rPr>
        <w:t>The Evidence Matrix (Lite) is a traceability artifact used during synthesis and readout for the Ping Well‑Architected Health Check (WAHC). It connects objective evidence to pillar findings and recommendations so priorities are defensible, auditable, and easy to follow up on. This matrix is designed to be lightweight: it supports a clear executive story while remaining detailed enough for SMEs to validate.</w:t>
      </w:r>
    </w:p>
    <w:p>
      <w:pPr/>
    </w:p>
    <w:p>
      <w:pPr>
        <w:pStyle w:val="Heading1"/>
      </w:pPr>
      <w:r>
        <w:t>Where This Fits in the WAHC Flow</w:t>
      </w:r>
    </w:p>
    <w:p>
      <w:pPr/>
      <w:r>
        <w:t xml:space="preserve">• </w:t>
      </w:r>
      <w:r>
        <w:rPr>
          <w:b/>
        </w:rPr>
        <w:t xml:space="preserve">Populate during synthesis: </w:t>
      </w:r>
      <w:r>
        <w:t>Draft the matrix after the evidence intake and pillar sessions, when observations can be validated.</w:t>
      </w:r>
    </w:p>
    <w:p>
      <w:pPr/>
      <w:r>
        <w:t xml:space="preserve">• </w:t>
      </w:r>
      <w:r>
        <w:rPr>
          <w:b/>
        </w:rPr>
        <w:t xml:space="preserve">Use for prioritization: </w:t>
      </w:r>
      <w:r>
        <w:t>Sort by priority and pillar to build the Now/Next/Later plan and the executive readout storyline.</w:t>
      </w:r>
    </w:p>
    <w:p>
      <w:pPr/>
      <w:r>
        <w:t xml:space="preserve">• </w:t>
      </w:r>
      <w:r>
        <w:rPr>
          <w:b/>
        </w:rPr>
        <w:t xml:space="preserve">Use for follow‑up: </w:t>
      </w:r>
      <w:r>
        <w:t>Hand off to delivery teams as a backlog seed (epics/stories) with evidence pointers and validation steps.</w:t>
      </w:r>
    </w:p>
    <w:p>
      <w:pPr/>
    </w:p>
    <w:p>
      <w:pPr>
        <w:pStyle w:val="Heading1"/>
      </w:pPr>
      <w:r>
        <w:t>Matrix Objectives</w:t>
      </w:r>
    </w:p>
    <w:p>
      <w:pPr/>
      <w:r>
        <w:t xml:space="preserve">• </w:t>
      </w:r>
      <w:r>
        <w:rPr>
          <w:b/>
        </w:rPr>
        <w:t xml:space="preserve">Trace to requirements: </w:t>
      </w:r>
      <w:r>
        <w:t>Connect each item to the customer requirement/use case and the impacted pillar(s) so prioritization reflects business impact.</w:t>
      </w:r>
    </w:p>
    <w:p>
      <w:pPr/>
      <w:r>
        <w:t xml:space="preserve">• </w:t>
      </w:r>
      <w:r>
        <w:rPr>
          <w:b/>
        </w:rPr>
        <w:t xml:space="preserve">Evidence reference: </w:t>
      </w:r>
      <w:r>
        <w:t>Record objective evidence pointers (export names, screenshots, transcript timestamps, ticket IDs) so items are easy to revisit.</w:t>
      </w:r>
    </w:p>
    <w:p>
      <w:pPr/>
      <w:r>
        <w:t xml:space="preserve">• </w:t>
      </w:r>
      <w:r>
        <w:rPr>
          <w:b/>
        </w:rPr>
        <w:t xml:space="preserve">Context: </w:t>
      </w:r>
      <w:r>
        <w:t>Capture architectural/operational context that explains behavior (HA/DR assumptions, dependencies, flows, operational processes).</w:t>
      </w:r>
    </w:p>
    <w:p>
      <w:pPr/>
      <w:r>
        <w:t xml:space="preserve">• </w:t>
      </w:r>
      <w:r>
        <w:rPr>
          <w:b/>
        </w:rPr>
        <w:t xml:space="preserve">Best‑practice mapping: </w:t>
      </w:r>
      <w:r>
        <w:t>Map items to Ping Well‑Architected best practices (use IDs where available; otherwise capture a placeholder and align later).</w:t>
      </w:r>
    </w:p>
    <w:p>
      <w:pPr/>
      <w:r>
        <w:t xml:space="preserve">• </w:t>
      </w:r>
      <w:r>
        <w:rPr>
          <w:b/>
        </w:rPr>
        <w:t xml:space="preserve">Actionability: </w:t>
      </w:r>
      <w:r>
        <w:t>Write recommendations to be testable and verifiable (include validation guidance and suggested sequencing).</w:t>
      </w:r>
    </w:p>
    <w:p>
      <w:pPr/>
    </w:p>
    <w:p>
      <w:pPr>
        <w:pStyle w:val="Heading1"/>
      </w:pPr>
      <w:r>
        <w:t>How to Use This Matrix</w:t>
      </w:r>
    </w:p>
    <w:p>
      <w:pPr/>
      <w:r>
        <w:t xml:space="preserve">• </w:t>
      </w:r>
      <w:r>
        <w:rPr>
          <w:b/>
        </w:rPr>
        <w:t xml:space="preserve">Keep it factual: </w:t>
      </w:r>
      <w:r>
        <w:t>Observation should describe what you saw (evidence‑based), not what you think should happen.</w:t>
      </w:r>
    </w:p>
    <w:p>
      <w:pPr/>
      <w:r>
        <w:t xml:space="preserve">• </w:t>
      </w:r>
      <w:r>
        <w:rPr>
          <w:b/>
        </w:rPr>
        <w:t xml:space="preserve">Keep it short: </w:t>
      </w:r>
      <w:r>
        <w:t>One observation per row; split large items into multiple rows rather than stacking multiple issues.</w:t>
      </w:r>
    </w:p>
    <w:p>
      <w:pPr/>
      <w:r>
        <w:t xml:space="preserve">• </w:t>
      </w:r>
      <w:r>
        <w:rPr>
          <w:b/>
        </w:rPr>
        <w:t xml:space="preserve">Make trade‑offs explicit: </w:t>
      </w:r>
      <w:r>
        <w:t>When a recommendation is constrained (cost, UX, governance), capture the decision criteria and assumptions.</w:t>
      </w:r>
    </w:p>
    <w:p>
      <w:pPr/>
      <w:r>
        <w:t xml:space="preserve">• </w:t>
      </w:r>
      <w:r>
        <w:rPr>
          <w:b/>
        </w:rPr>
        <w:t xml:space="preserve">Prefer primary sources: </w:t>
      </w:r>
      <w:r>
        <w:t>Use exports, diagrams, and tickets/alerts where possible; treat verbal statements as “to be confirmed” unless evidenced.</w:t>
      </w:r>
    </w:p>
    <w:p>
      <w:pPr/>
    </w:p>
    <w:p>
      <w:pPr>
        <w:pStyle w:val="Heading3"/>
      </w:pPr>
      <w:r>
        <w:t>Recommended Column Definitions</w:t>
      </w:r>
    </w:p>
    <w:p>
      <w:pPr/>
      <w:r>
        <w:t xml:space="preserve">• </w:t>
      </w:r>
      <w:r>
        <w:rPr>
          <w:b/>
        </w:rPr>
        <w:t xml:space="preserve">Evidence Source: </w:t>
      </w:r>
      <w:r>
        <w:t>What proves the observation (export, screenshot, ticket, dashboard, transcript + date/timestamp).</w:t>
      </w:r>
    </w:p>
    <w:p>
      <w:pPr/>
      <w:r>
        <w:t xml:space="preserve">• </w:t>
      </w:r>
      <w:r>
        <w:rPr>
          <w:b/>
        </w:rPr>
        <w:t xml:space="preserve">Pillar: </w:t>
      </w:r>
      <w:r>
        <w:t>Well‑Architected pillar impacted (Availability &amp; Reliability, Security, Performance, Deployment &amp; Automation, Experiences, Governance).</w:t>
      </w:r>
    </w:p>
    <w:p>
      <w:pPr/>
      <w:r>
        <w:t xml:space="preserve">• </w:t>
      </w:r>
      <w:r>
        <w:rPr>
          <w:b/>
        </w:rPr>
        <w:t xml:space="preserve">Best Practice ID: </w:t>
      </w:r>
      <w:r>
        <w:t>Pillar best‑practice reference (use official IDs when available; otherwise use placeholders like SEC‑xx).</w:t>
      </w:r>
    </w:p>
    <w:p>
      <w:pPr/>
      <w:r>
        <w:t xml:space="preserve">• </w:t>
      </w:r>
      <w:r>
        <w:rPr>
          <w:b/>
        </w:rPr>
        <w:t xml:space="preserve">Observation: </w:t>
      </w:r>
      <w:r>
        <w:t>Factual statement of current behavior/configuration.</w:t>
      </w:r>
    </w:p>
    <w:p>
      <w:pPr/>
      <w:r>
        <w:t xml:space="preserve">• </w:t>
      </w:r>
      <w:r>
        <w:rPr>
          <w:b/>
        </w:rPr>
        <w:t xml:space="preserve">Risk/Impact: </w:t>
      </w:r>
      <w:r>
        <w:t>Why it matters (user impact, security exposure, operational risk, compliance risk).</w:t>
      </w:r>
    </w:p>
    <w:p>
      <w:pPr/>
      <w:r>
        <w:t xml:space="preserve">• </w:t>
      </w:r>
      <w:r>
        <w:rPr>
          <w:b/>
        </w:rPr>
        <w:t xml:space="preserve">Recommendation: </w:t>
      </w:r>
      <w:r>
        <w:t>Actionable mitigation (what to do) and, when helpful, “how to validate.”</w:t>
      </w:r>
    </w:p>
    <w:p>
      <w:pPr/>
      <w:r>
        <w:t xml:space="preserve">• </w:t>
      </w:r>
      <w:r>
        <w:rPr>
          <w:b/>
        </w:rPr>
        <w:t xml:space="preserve">Priority: </w:t>
      </w:r>
      <w:r>
        <w:t>Impact × likelihood (High/Med/Low).</w:t>
      </w:r>
    </w:p>
    <w:p>
      <w:pPr/>
      <w:r>
        <w:t xml:space="preserve">• </w:t>
      </w:r>
      <w:r>
        <w:rPr>
          <w:b/>
        </w:rPr>
        <w:t xml:space="preserve">LOE: </w:t>
      </w:r>
      <w:r>
        <w:t>Directional effort (Low/Med/High); refine later if needed.</w:t>
      </w:r>
    </w:p>
    <w:p>
      <w:pPr/>
      <w:r>
        <w:t xml:space="preserve">• </w:t>
      </w:r>
      <w:r>
        <w:rPr>
          <w:b/>
        </w:rPr>
        <w:t xml:space="preserve">Owner: </w:t>
      </w:r>
      <w:r>
        <w:t>Accountable team/role (Platform, Security, DevOps, IAM, App team, SRE).</w:t>
      </w:r>
    </w:p>
    <w:p>
      <w:pPr/>
    </w:p>
    <w:p>
      <w:pPr>
        <w:pStyle w:val="Heading1"/>
      </w:pPr>
      <w:r>
        <w:t>Scoring Guidance</w:t>
      </w:r>
    </w:p>
    <w:p>
      <w:pPr/>
      <w:r>
        <w:t xml:space="preserve">• </w:t>
      </w:r>
      <w:r>
        <w:rPr>
          <w:b/>
        </w:rPr>
        <w:t xml:space="preserve">Priority: </w:t>
      </w:r>
      <w:r>
        <w:t>Use impact × likelihood. Impact reflects blast radius and business consequences; likelihood reflects recurrence probability.</w:t>
      </w:r>
    </w:p>
    <w:p>
      <w:pPr/>
      <w:r>
        <w:t xml:space="preserve">• </w:t>
      </w:r>
      <w:r>
        <w:rPr>
          <w:b/>
        </w:rPr>
        <w:t xml:space="preserve">LOE: </w:t>
      </w:r>
      <w:r>
        <w:t>Keep directional. Use “Low/Med/High” until remediation design is confirmed.</w:t>
      </w:r>
    </w:p>
    <w:p>
      <w:pPr/>
      <w:r>
        <w:t xml:space="preserve">• </w:t>
      </w:r>
      <w:r>
        <w:rPr>
          <w:b/>
        </w:rPr>
        <w:t xml:space="preserve">Time horizon: </w:t>
      </w:r>
      <w:r>
        <w:t>Optionally tag recommendations as Now/Next/Later (or 30/60/90) once the matrix is populated.</w:t>
      </w:r>
    </w:p>
    <w:p>
      <w:pPr/>
    </w:p>
    <w:p>
      <w:pPr>
        <w:pStyle w:val="Heading1"/>
      </w:pPr>
      <w:r>
        <w:t>Row Pattern (Copy/Paste)</w:t>
      </w:r>
    </w:p>
    <w:p>
      <w:pPr/>
      <w:r>
        <w:rPr>
          <w:b/>
        </w:rPr>
        <w:t>Row format:</w:t>
      </w:r>
    </w:p>
    <w:p>
      <w:pPr/>
      <w:r>
        <w:rPr>
          <w:b w:val="0"/>
        </w:rPr>
        <w:t>Evidence Source | Pillar | Best Practice ID | Observation | Risk/Impact | Recommendation | Priority | LOE | Owner</w:t>
      </w:r>
    </w:p>
    <w:p>
      <w:pPr/>
    </w:p>
    <w:p>
      <w:pPr>
        <w:pStyle w:val="Heading3"/>
      </w:pPr>
      <w:r>
        <w:t>Writing Tips</w:t>
      </w:r>
    </w:p>
    <w:p>
      <w:pPr/>
      <w:r>
        <w:t xml:space="preserve">• </w:t>
      </w:r>
      <w:r>
        <w:rPr>
          <w:b/>
        </w:rPr>
        <w:t xml:space="preserve">Observation: </w:t>
      </w:r>
      <w:r>
        <w:t>Specific, measurable, evidence‑based (avoid “should” language).</w:t>
      </w:r>
    </w:p>
    <w:p>
      <w:pPr/>
      <w:r>
        <w:t xml:space="preserve">• </w:t>
      </w:r>
      <w:r>
        <w:rPr>
          <w:b/>
        </w:rPr>
        <w:t xml:space="preserve">Recommendation: </w:t>
      </w:r>
      <w:r>
        <w:t>Actionable and testable (include a validation step when possible).</w:t>
      </w:r>
    </w:p>
    <w:p>
      <w:pPr/>
      <w:r>
        <w:t xml:space="preserve">• </w:t>
      </w:r>
      <w:r>
        <w:rPr>
          <w:b/>
        </w:rPr>
        <w:t xml:space="preserve">Evidence pointers: </w:t>
      </w:r>
      <w:r>
        <w:t>If citing a transcript, include session name + date + timestamp. If citing an export, include file name + object path.</w:t>
      </w:r>
    </w:p>
    <w:p>
      <w:pPr/>
    </w:p>
    <w:p>
      <w:pPr>
        <w:pStyle w:val="Heading1"/>
      </w:pPr>
      <w:r>
        <w:t>Example Rows (Illustrative)</w:t>
      </w:r>
    </w:p>
    <w:p>
      <w:pPr/>
      <w:r>
        <w:t xml:space="preserve">• </w:t>
      </w:r>
      <w:r>
        <w:rPr>
          <w:b/>
        </w:rPr>
        <w:t xml:space="preserve">Example 1: </w:t>
      </w:r>
      <w:r>
        <w:t>Ticket #12345 | Availability &amp; Reliability | AR‑02 | Dependency timeouts cause 5xx spikes | Login outages | Add timeouts/circuit breakers + synthetic check | High | Med | Platform</w:t>
      </w:r>
    </w:p>
    <w:p>
      <w:pPr/>
      <w:r>
        <w:t xml:space="preserve">• </w:t>
      </w:r>
      <w:r>
        <w:rPr>
          <w:b/>
        </w:rPr>
        <w:t xml:space="preserve">Example 2: </w:t>
      </w:r>
      <w:r>
        <w:t>AM export | Deployment &amp; Automation | DA‑04 | Manual realm promotion | Drift risk | IaC + promotion pipeline + drift detection | High | High | DevOps</w:t>
      </w:r>
    </w:p>
    <w:p>
      <w:pPr/>
      <w:r>
        <w:t xml:space="preserve">• </w:t>
      </w:r>
      <w:r>
        <w:rPr>
          <w:b/>
        </w:rPr>
        <w:t xml:space="preserve">Example 3: </w:t>
      </w:r>
      <w:r>
        <w:t>Transcript (Security session) | Security | SEC‑03 | Secrets stored in scripts | Exposure risk | Move to managed secrets/ESVs + rotation | High | Med | Security</w:t>
      </w:r>
    </w:p>
    <w:p>
      <w:pPr/>
      <w:r>
        <w:t xml:space="preserve">• </w:t>
      </w:r>
      <w:r>
        <w:rPr>
          <w:b/>
        </w:rPr>
        <w:t xml:space="preserve">Example 4: </w:t>
      </w:r>
      <w:r>
        <w:t>Diagram review | Experiences | EXP‑02 | Step‑up failure loops | User lockouts | Add clear error paths + recovery UX | Med | Low | UX/IAM</w:t>
      </w:r>
    </w:p>
    <w:p>
      <w:pPr/>
      <w:r>
        <w:t xml:space="preserve">• </w:t>
      </w:r>
      <w:r>
        <w:rPr>
          <w:b/>
        </w:rPr>
        <w:t xml:space="preserve">Example 5: </w:t>
      </w:r>
      <w:r>
        <w:t>IDM export | Performance | PERF‑05 | Sync jobs lack backoff/idempotency | Throttling/latency | Add checkpointing/backoff + test under burst | Med | Med | IDM</w:t>
      </w:r>
    </w:p>
    <w:p>
      <w:pPr/>
      <w:r>
        <w:t xml:space="preserve">• </w:t>
      </w:r>
      <w:r>
        <w:rPr>
          <w:b/>
        </w:rPr>
        <w:t xml:space="preserve">Example 6: </w:t>
      </w:r>
      <w:r>
        <w:t>Ops notes | Governance | GOV‑01 | No clear RACI for changes | Slow recovery | Define ownership + runbooks + change gates | Low | Low | Ops</w:t>
      </w:r>
    </w:p>
    <w:p>
      <w:pPr/>
    </w:p>
    <w:p>
      <w:pPr>
        <w:pStyle w:val="Heading1"/>
      </w:pPr>
      <w:r>
        <w:t>Evidence Sources (Examples)</w:t>
      </w:r>
    </w:p>
    <w:p>
      <w:pPr/>
      <w:r>
        <w:t xml:space="preserve">• </w:t>
      </w:r>
      <w:r>
        <w:rPr>
          <w:b/>
        </w:rPr>
        <w:t xml:space="preserve">Configuration exports/screenshots: </w:t>
      </w:r>
      <w:r>
        <w:t>journeys/trees, scripts, policies, protocol settings, admin delegation, security posture.</w:t>
      </w:r>
    </w:p>
    <w:p>
      <w:pPr/>
      <w:r>
        <w:t xml:space="preserve">• </w:t>
      </w:r>
      <w:r>
        <w:rPr>
          <w:b/>
        </w:rPr>
        <w:t xml:space="preserve">Environment inventory and diagrams: </w:t>
      </w:r>
      <w:r>
        <w:t>logical/physical/topology diagrams, trust boundaries, HA/DR assumptions, dependency maps.</w:t>
      </w:r>
    </w:p>
    <w:p>
      <w:pPr/>
      <w:r>
        <w:t xml:space="preserve">• </w:t>
      </w:r>
      <w:r>
        <w:rPr>
          <w:b/>
        </w:rPr>
        <w:t xml:space="preserve">Operational artifacts: </w:t>
      </w:r>
      <w:r>
        <w:t>runbooks, change logs, incident reports, dashboards/alerts, synthetic tests.</w:t>
      </w:r>
    </w:p>
    <w:p>
      <w:pPr/>
      <w:r>
        <w:t xml:space="preserve">• </w:t>
      </w:r>
      <w:r>
        <w:rPr>
          <w:b/>
        </w:rPr>
        <w:t xml:space="preserve">Support history: </w:t>
      </w:r>
      <w:r>
        <w:t>tickets (12–18 months), recurring incidents, root cause themes, and known fragile dependencies.</w:t>
      </w:r>
    </w:p>
    <w:p>
      <w:pPr/>
    </w:p>
    <w:p>
      <w:pPr>
        <w:pStyle w:val="Heading1"/>
      </w:pPr>
      <w:r>
        <w:t>Prerequisites</w:t>
      </w:r>
    </w:p>
    <w:p>
      <w:pPr/>
      <w:r>
        <w:t xml:space="preserve">• </w:t>
      </w:r>
      <w:r>
        <w:rPr>
          <w:b/>
        </w:rPr>
        <w:t xml:space="preserve">Inputs collected: </w:t>
      </w:r>
      <w:r>
        <w:t>Required inputs and evidence baseline are available (exports, diagrams, inventory, support history).</w:t>
      </w:r>
    </w:p>
    <w:p>
      <w:pPr/>
      <w:r>
        <w:t xml:space="preserve">• </w:t>
      </w:r>
      <w:r>
        <w:rPr>
          <w:b/>
        </w:rPr>
        <w:t xml:space="preserve">Pillar sessions complete: </w:t>
      </w:r>
      <w:r>
        <w:t>Scenario‑based sessions have been conducted and notes/transcripts captured (if permitted).</w:t>
      </w:r>
    </w:p>
    <w:p>
      <w:pPr/>
    </w:p>
    <w:p>
      <w:pPr>
        <w:pStyle w:val="Heading1"/>
      </w:pPr>
      <w:r>
        <w:t>Deliverables</w:t>
      </w:r>
    </w:p>
    <w:p>
      <w:pPr/>
      <w:r>
        <w:rPr>
          <w:b w:val="0"/>
        </w:rPr>
        <w:t>• A completed Evidence Matrix (Lite) that supports the prioritized recommendations, maturity snapshot (if included), and executive readout.</w:t>
      </w:r>
    </w:p>
    <w:p>
      <w:pPr/>
      <w:r>
        <w:rPr>
          <w:b w:val="0"/>
        </w:rPr>
        <w:t>• A traceability view mapping evidence → pillar → finding → recommendation, enabling reviewers to validate quickly and plan remediation.</w:t>
      </w:r>
    </w:p>
    <w:p>
      <w:pPr/>
    </w:p>
    <w:p>
      <w:pPr>
        <w:pStyle w:val="Heading1"/>
      </w:pPr>
      <w:r>
        <w:t>Exclusions</w:t>
      </w:r>
    </w:p>
    <w:p>
      <w:pPr/>
      <w:r>
        <w:rPr>
          <w:b w:val="0"/>
        </w:rPr>
        <w:t>• This is not a detailed design document; it is a traceability artifact used to justify priorities and next steps.</w:t>
      </w:r>
    </w:p>
    <w:p>
      <w:pPr/>
      <w:r>
        <w:rPr>
          <w:b w:val="0"/>
        </w:rPr>
        <w:t>• No remediation is performed as part of the matrix itself; remediation is planned and delivered separately.</w:t>
      </w:r>
    </w:p>
    <w:p>
      <w:pPr/>
    </w:p>
    <w:sectPr w:rsidR="00405AF6">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BF63A" w14:textId="77777777" w:rsidR="005E1BA7" w:rsidRDefault="005E1BA7">
      <w:pPr>
        <w:spacing w:before="0" w:after="0"/>
      </w:pPr>
      <w:r>
        <w:separator/>
      </w:r>
    </w:p>
  </w:endnote>
  <w:endnote w:type="continuationSeparator" w:id="0">
    <w:p w14:paraId="103828A5" w14:textId="77777777" w:rsidR="005E1BA7" w:rsidRDefault="005E1BA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9DCB79A-32B4-DB49-AD13-5949962F5FF3}"/>
    <w:embedBold r:id="rId2" w:fontKey="{61448168-200C-6942-93BC-D3D39AF15E01}"/>
  </w:font>
  <w:font w:name="Arial">
    <w:panose1 w:val="020B0604020202020204"/>
    <w:charset w:val="00"/>
    <w:family w:val="swiss"/>
    <w:pitch w:val="variable"/>
    <w:sig w:usb0="E0002AFF" w:usb1="C0007843" w:usb2="00000009" w:usb3="00000000" w:csb0="000001FF" w:csb1="00000000"/>
    <w:embedRegular r:id="rId3" w:fontKey="{B2858DD6-C82D-124A-9F0A-344CDBB0680D}"/>
    <w:embedBold r:id="rId4" w:fontKey="{386C1EAA-6D4A-C643-A984-E9034E2D2322}"/>
    <w:embedItalic r:id="rId5" w:fontKey="{88108918-CE94-6A4E-8E40-F2C814201545}"/>
    <w:embedBoldItalic r:id="rId6" w:fontKey="{97F77176-FFB7-944A-B7D7-C234DCFC5393}"/>
  </w:font>
  <w:font w:name="Georgia">
    <w:panose1 w:val="02040502050405020303"/>
    <w:charset w:val="00"/>
    <w:family w:val="roman"/>
    <w:pitch w:val="variable"/>
    <w:sig w:usb0="00000287" w:usb1="00000000" w:usb2="00000000" w:usb3="00000000" w:csb0="0000009F" w:csb1="00000000"/>
    <w:embedItalic r:id="rId7" w:fontKey="{D458EFF7-9BB2-3A41-A737-E728B961E87D}"/>
  </w:font>
  <w:font w:name="Calibri">
    <w:panose1 w:val="020F0502020204030204"/>
    <w:charset w:val="00"/>
    <w:family w:val="swiss"/>
    <w:pitch w:val="variable"/>
    <w:sig w:usb0="E0002AFF" w:usb1="C000247B" w:usb2="00000009" w:usb3="00000000" w:csb0="000001FF" w:csb1="00000000"/>
    <w:embedRegular r:id="rId8" w:fontKey="{908C68ED-5324-9E4A-9678-1E1062363ECC}"/>
  </w:font>
  <w:font w:name="Cambria">
    <w:panose1 w:val="02040503050406030204"/>
    <w:charset w:val="00"/>
    <w:family w:val="roman"/>
    <w:pitch w:val="variable"/>
    <w:sig w:usb0="E00002FF" w:usb1="400004FF" w:usb2="00000000" w:usb3="00000000" w:csb0="0000019F" w:csb1="00000000"/>
    <w:embedRegular r:id="rId9" w:fontKey="{1B05EEE3-7043-5448-8F9B-8E49D8D119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931A" w14:textId="77777777" w:rsidR="006E78CD" w:rsidRDefault="006E7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426D" w14:textId="77777777" w:rsidR="00405AF6" w:rsidRDefault="00000000">
    <w:pPr>
      <w:pBdr>
        <w:top w:val="nil"/>
        <w:left w:val="nil"/>
        <w:bottom w:val="nil"/>
        <w:right w:val="nil"/>
        <w:between w:val="nil"/>
      </w:pBdr>
      <w:tabs>
        <w:tab w:val="center" w:pos="4320"/>
        <w:tab w:val="right" w:pos="8640"/>
      </w:tabs>
      <w:spacing w:before="0" w:after="0"/>
    </w:pPr>
    <w:r>
      <w:t>Ping Professional Services</w:t>
    </w:r>
    <w:r>
      <w:tab/>
    </w:r>
    <w:r>
      <w:fldChar w:fldCharType="begin"/>
    </w:r>
    <w:r>
      <w:instrText>PAGE</w:instrText>
    </w:r>
    <w:r>
      <w:fldChar w:fldCharType="separate"/>
    </w:r>
    <w:r w:rsidR="00C839CD">
      <w:rPr>
        <w:noProof/>
      </w:rPr>
      <w:t>1</w:t>
    </w:r>
    <w:r>
      <w:fldChar w:fldCharType="end"/>
    </w:r>
    <w:r>
      <w:tab/>
      <w:t>Feb 27, 2024 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C28C7" w14:textId="77777777" w:rsidR="006E78CD" w:rsidRDefault="006E7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75BF5" w14:textId="77777777" w:rsidR="005E1BA7" w:rsidRDefault="005E1BA7">
      <w:pPr>
        <w:spacing w:before="0" w:after="0"/>
      </w:pPr>
      <w:r>
        <w:separator/>
      </w:r>
    </w:p>
  </w:footnote>
  <w:footnote w:type="continuationSeparator" w:id="0">
    <w:p w14:paraId="51DF1D81" w14:textId="77777777" w:rsidR="005E1BA7" w:rsidRDefault="005E1BA7">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6D6CF" w14:textId="77777777" w:rsidR="00C839CD" w:rsidRDefault="00C83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34F1" w14:textId="77777777" w:rsidR="00C839CD" w:rsidRPr="00147A66" w:rsidRDefault="00C839CD" w:rsidP="00C839CD">
    <w:pPr>
      <w:pStyle w:val="Title"/>
      <w:keepNext w:val="0"/>
      <w:keepLines w:val="0"/>
      <w:spacing w:before="567"/>
      <w:ind w:firstLine="720"/>
      <w:rPr>
        <w:sz w:val="36"/>
        <w:szCs w:val="36"/>
      </w:rPr>
    </w:pPr>
    <w:r w:rsidRPr="00147A66">
      <w:rPr>
        <w:noProof/>
        <w:color w:val="C00000"/>
        <w:sz w:val="52"/>
        <w:szCs w:val="52"/>
      </w:rPr>
      <w:drawing>
        <wp:anchor distT="0" distB="0" distL="114300" distR="114300" simplePos="0" relativeHeight="251659264" behindDoc="0" locked="0" layoutInCell="1" hidden="0" allowOverlap="1" wp14:anchorId="65CDBBBB" wp14:editId="20A7D080">
          <wp:simplePos x="0" y="0"/>
          <wp:positionH relativeFrom="column">
            <wp:posOffset>-330200</wp:posOffset>
          </wp:positionH>
          <wp:positionV relativeFrom="paragraph">
            <wp:posOffset>314960</wp:posOffset>
          </wp:positionV>
          <wp:extent cx="720000" cy="720000"/>
          <wp:effectExtent l="0" t="0" r="0" b="0"/>
          <wp:wrapSquare wrapText="bothSides" distT="0" distB="0" distL="114300" distR="114300"/>
          <wp:docPr id="2" name="image2.png" descr="Macintosh HD:Users:johntrask:Desktop:Ping Logos:EXP_PIC_square_logo_RGB.png"/>
          <wp:cNvGraphicFramePr/>
          <a:graphic xmlns:a="http://schemas.openxmlformats.org/drawingml/2006/main">
            <a:graphicData uri="http://schemas.openxmlformats.org/drawingml/2006/picture">
              <pic:pic xmlns:pic="http://schemas.openxmlformats.org/drawingml/2006/picture">
                <pic:nvPicPr>
                  <pic:cNvPr id="0" name="image2.png" descr="Macintosh HD:Users:johntrask:Desktop:Ping Logos:EXP_PIC_square_logo_RGB.png"/>
                  <pic:cNvPicPr preferRelativeResize="0"/>
                </pic:nvPicPr>
                <pic:blipFill>
                  <a:blip r:embed="rId1"/>
                  <a:srcRect/>
                  <a:stretch>
                    <a:fillRect/>
                  </a:stretch>
                </pic:blipFill>
                <pic:spPr>
                  <a:xfrm>
                    <a:off x="0" y="0"/>
                    <a:ext cx="720000" cy="720000"/>
                  </a:xfrm>
                  <a:prstGeom prst="rect">
                    <a:avLst/>
                  </a:prstGeom>
                  <a:ln/>
                </pic:spPr>
              </pic:pic>
            </a:graphicData>
          </a:graphic>
        </wp:anchor>
      </w:drawing>
    </w:r>
    <w:r w:rsidRPr="00147A66">
      <w:rPr>
        <w:color w:val="C00000"/>
        <w:sz w:val="40"/>
        <w:szCs w:val="40"/>
      </w:rPr>
      <w:t>Well-Architected Health Check</w:t>
    </w:r>
    <w:r>
      <w:rPr>
        <w:sz w:val="36"/>
        <w:szCs w:val="36"/>
      </w:rPr>
      <w:br/>
      <w:t xml:space="preserve">   </w:t>
    </w:r>
    <w:r w:rsidR="00D27E3F" w:rsidRPr="00D27E3F">
      <w:rPr>
        <w:i/>
        <w:iCs/>
        <w:color w:val="808080" w:themeColor="background1" w:themeShade="80"/>
        <w:sz w:val="22"/>
        <w:szCs w:val="22"/>
      </w:rPr>
      <w:t>Evidence Matrix - Traceability to Pillar Finding &amp; Recommendations</w:t>
    </w:r>
    <w:r w:rsidRPr="00D27E3F">
      <w:rPr>
        <w:i/>
        <w:iCs/>
        <w:color w:val="808080" w:themeColor="background1" w:themeShade="80"/>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DD670" w14:textId="77777777" w:rsidR="00C839CD" w:rsidRDefault="00C839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BF5C92"/>
    <w:multiLevelType w:val="multilevel"/>
    <w:tmpl w:val="1F9AC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3338C1"/>
    <w:multiLevelType w:val="multilevel"/>
    <w:tmpl w:val="174E5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B81EF3"/>
    <w:multiLevelType w:val="multilevel"/>
    <w:tmpl w:val="0256D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CD6123"/>
    <w:multiLevelType w:val="multilevel"/>
    <w:tmpl w:val="90D4B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4A3FAB"/>
    <w:multiLevelType w:val="multilevel"/>
    <w:tmpl w:val="A4FCC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9571554">
    <w:abstractNumId w:val="4"/>
  </w:num>
  <w:num w:numId="2" w16cid:durableId="1157652844">
    <w:abstractNumId w:val="2"/>
  </w:num>
  <w:num w:numId="3" w16cid:durableId="528304183">
    <w:abstractNumId w:val="1"/>
  </w:num>
  <w:num w:numId="4" w16cid:durableId="731658952">
    <w:abstractNumId w:val="0"/>
  </w:num>
  <w:num w:numId="5" w16cid:durableId="1407317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AF6"/>
    <w:rsid w:val="0005464C"/>
    <w:rsid w:val="00405AF6"/>
    <w:rsid w:val="00481786"/>
    <w:rsid w:val="005E1BA7"/>
    <w:rsid w:val="005F6ADD"/>
    <w:rsid w:val="006E78CD"/>
    <w:rsid w:val="006F2A44"/>
    <w:rsid w:val="00AC3FAD"/>
    <w:rsid w:val="00B67491"/>
    <w:rsid w:val="00C839CD"/>
    <w:rsid w:val="00D2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02E04"/>
  <w15:docId w15:val="{DB40A64B-30C5-234F-ABA3-7347498DF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widowControl w:val="0"/>
        <w:spacing w:before="160"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outlineLvl w:val="0"/>
    </w:pPr>
    <w:rPr>
      <w:b/>
      <w:bCs/>
      <w:color w:val="3E779B"/>
      <w:sz w:val="36"/>
      <w:szCs w:val="36"/>
    </w:rPr>
  </w:style>
  <w:style w:type="paragraph" w:styleId="Heading2">
    <w:name w:val="heading 2"/>
    <w:basedOn w:val="Normal"/>
    <w:next w:val="Normal"/>
    <w:uiPriority w:val="9"/>
    <w:unhideWhenUsed/>
    <w:qFormat/>
    <w:pPr>
      <w:keepNext/>
      <w:keepLines/>
      <w:spacing w:before="240" w:after="240"/>
      <w:outlineLvl w:val="1"/>
    </w:pPr>
    <w:rPr>
      <w:b/>
      <w:bCs/>
      <w:sz w:val="32"/>
      <w:szCs w:val="32"/>
    </w:rPr>
  </w:style>
  <w:style w:type="paragraph" w:styleId="Heading3">
    <w:name w:val="heading 3"/>
    <w:basedOn w:val="Normal"/>
    <w:next w:val="Normal"/>
    <w:uiPriority w:val="9"/>
    <w:unhideWhenUsed/>
    <w:qFormat/>
    <w:pPr>
      <w:keepNext/>
      <w:keepLines/>
      <w:outlineLvl w:val="2"/>
    </w:pPr>
    <w:rPr>
      <w:b/>
      <w:bCs/>
      <w:i/>
      <w:iCs/>
      <w:sz w:val="28"/>
      <w:szCs w:val="28"/>
    </w:rPr>
  </w:style>
  <w:style w:type="paragraph" w:styleId="Heading4">
    <w:name w:val="heading 4"/>
    <w:basedOn w:val="Normal"/>
    <w:next w:val="Normal"/>
    <w:uiPriority w:val="9"/>
    <w:semiHidden/>
    <w:unhideWhenUsed/>
    <w:qFormat/>
    <w:pPr>
      <w:keepNext/>
      <w:keepLines/>
      <w:spacing w:before="240" w:after="40"/>
      <w:outlineLvl w:val="3"/>
    </w:pPr>
    <w:rPr>
      <w:i/>
      <w:i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0"/>
    </w:pPr>
    <w:rPr>
      <w:b/>
      <w:bCs/>
      <w:sz w:val="48"/>
      <w:szCs w:val="48"/>
    </w:rPr>
  </w:style>
  <w:style w:type="paragraph" w:styleId="Subtitle">
    <w:name w:val="Subtitle"/>
    <w:basedOn w:val="Normal"/>
    <w:next w:val="Normal"/>
    <w:uiPriority w:val="11"/>
    <w:qFormat/>
    <w:pPr>
      <w:keepNext/>
      <w:keepLines/>
      <w:spacing w:after="0"/>
    </w:pPr>
    <w:rPr>
      <w:rFonts w:ascii="Georgia" w:eastAsia="Georgia" w:hAnsi="Georgia" w:cs="Georgia"/>
      <w:i/>
      <w:iCs/>
      <w:color w:val="666666"/>
      <w:sz w:val="24"/>
      <w:szCs w:val="24"/>
    </w:rPr>
  </w:style>
  <w:style w:type="paragraph" w:styleId="Header">
    <w:name w:val="header"/>
    <w:basedOn w:val="Normal"/>
    <w:link w:val="HeaderChar"/>
    <w:uiPriority w:val="99"/>
    <w:unhideWhenUsed/>
    <w:rsid w:val="00C839CD"/>
    <w:pPr>
      <w:tabs>
        <w:tab w:val="center" w:pos="4680"/>
        <w:tab w:val="right" w:pos="9360"/>
      </w:tabs>
      <w:spacing w:before="0" w:after="0"/>
    </w:pPr>
  </w:style>
  <w:style w:type="character" w:customStyle="1" w:styleId="HeaderChar">
    <w:name w:val="Header Char"/>
    <w:basedOn w:val="DefaultParagraphFont"/>
    <w:link w:val="Header"/>
    <w:uiPriority w:val="99"/>
    <w:rsid w:val="00C839CD"/>
  </w:style>
  <w:style w:type="paragraph" w:styleId="Footer">
    <w:name w:val="footer"/>
    <w:basedOn w:val="Normal"/>
    <w:link w:val="FooterChar"/>
    <w:uiPriority w:val="99"/>
    <w:unhideWhenUsed/>
    <w:rsid w:val="00C839CD"/>
    <w:pPr>
      <w:tabs>
        <w:tab w:val="center" w:pos="4680"/>
        <w:tab w:val="right" w:pos="9360"/>
      </w:tabs>
      <w:spacing w:before="0" w:after="0"/>
    </w:pPr>
  </w:style>
  <w:style w:type="character" w:customStyle="1" w:styleId="FooterChar">
    <w:name w:val="Footer Char"/>
    <w:basedOn w:val="DefaultParagraphFont"/>
    <w:link w:val="Footer"/>
    <w:uiPriority w:val="99"/>
    <w:rsid w:val="00C839CD"/>
  </w:style>
  <w:style w:type="character" w:customStyle="1" w:styleId="TitleChar">
    <w:name w:val="Title Char"/>
    <w:basedOn w:val="DefaultParagraphFont"/>
    <w:link w:val="Title"/>
    <w:uiPriority w:val="10"/>
    <w:rsid w:val="00C839CD"/>
    <w:rPr>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607</Words>
  <Characters>3463</Characters>
  <Application>Microsoft Office Word</Application>
  <DocSecurity>0</DocSecurity>
  <Lines>28</Lines>
  <Paragraphs>8</Paragraphs>
  <ScaleCrop>false</ScaleCrop>
  <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Ronald Clapman</cp:lastModifiedBy>
  <cp:revision>6</cp:revision>
  <dcterms:created xsi:type="dcterms:W3CDTF">2026-02-21T22:34:00Z</dcterms:created>
  <dcterms:modified xsi:type="dcterms:W3CDTF">2026-02-21T23:15:00Z</dcterms:modified>
</cp:coreProperties>
</file>